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6134C" w14:textId="77777777" w:rsidR="00D41426" w:rsidRPr="00D41426" w:rsidRDefault="00D41426" w:rsidP="00D41426">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
          <w:bCs/>
          <w:sz w:val="24"/>
          <w:szCs w:val="24"/>
        </w:rPr>
      </w:pPr>
      <w:bookmarkStart w:id="0" w:name="_GoBack"/>
      <w:bookmarkEnd w:id="0"/>
    </w:p>
    <w:p w14:paraId="262F4139" w14:textId="77777777" w:rsidR="00D41426" w:rsidRPr="00D41426" w:rsidRDefault="00D41426" w:rsidP="00D41426">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
          <w:bCs/>
          <w:sz w:val="24"/>
          <w:szCs w:val="24"/>
        </w:rPr>
      </w:pPr>
    </w:p>
    <w:p w14:paraId="7DE5EFC9" w14:textId="77777777" w:rsidR="00D41426" w:rsidRPr="00D41426" w:rsidRDefault="00D41426" w:rsidP="00D41426">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
          <w:bCs/>
          <w:sz w:val="24"/>
          <w:szCs w:val="24"/>
        </w:rPr>
      </w:pPr>
      <w:r w:rsidRPr="00D41426">
        <w:rPr>
          <w:rFonts w:ascii="Arial" w:eastAsia="Calibri" w:hAnsi="Arial" w:cs="Arial"/>
          <w:b/>
          <w:bCs/>
          <w:sz w:val="24"/>
          <w:szCs w:val="24"/>
        </w:rPr>
        <w:t>ASAMBLEA LEGISLATIVA DE LA REPÚBLICA DE COSTA RICA</w:t>
      </w:r>
    </w:p>
    <w:p w14:paraId="792CE82E" w14:textId="77777777" w:rsidR="00D41426" w:rsidRPr="00D41426" w:rsidRDefault="00D41426" w:rsidP="00D41426">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
          <w:bCs/>
          <w:sz w:val="24"/>
          <w:szCs w:val="24"/>
        </w:rPr>
      </w:pPr>
    </w:p>
    <w:p w14:paraId="4AD417C8" w14:textId="77777777" w:rsidR="00D41426" w:rsidRPr="00D41426" w:rsidRDefault="00D41426" w:rsidP="00D41426">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
          <w:bCs/>
          <w:sz w:val="24"/>
          <w:szCs w:val="24"/>
        </w:rPr>
      </w:pPr>
    </w:p>
    <w:p w14:paraId="45A14339" w14:textId="77777777" w:rsidR="00D41426" w:rsidRPr="00D41426" w:rsidRDefault="00D41426" w:rsidP="00D41426">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
          <w:bCs/>
          <w:sz w:val="24"/>
          <w:szCs w:val="24"/>
        </w:rPr>
      </w:pPr>
    </w:p>
    <w:p w14:paraId="569CCD4E" w14:textId="77777777" w:rsidR="00D41426" w:rsidRPr="00D41426" w:rsidRDefault="00D41426" w:rsidP="00D41426">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
          <w:bCs/>
          <w:sz w:val="24"/>
          <w:szCs w:val="24"/>
        </w:rPr>
      </w:pPr>
    </w:p>
    <w:p w14:paraId="587CFCE1" w14:textId="77777777" w:rsidR="00D41426" w:rsidRPr="00D41426" w:rsidRDefault="00D41426" w:rsidP="00D41426">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
          <w:bCs/>
          <w:sz w:val="24"/>
          <w:szCs w:val="24"/>
        </w:rPr>
      </w:pPr>
    </w:p>
    <w:p w14:paraId="4DFE31E2" w14:textId="77777777" w:rsidR="00D41426" w:rsidRPr="00D41426" w:rsidRDefault="00D41426" w:rsidP="00D41426">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
          <w:bCs/>
          <w:sz w:val="24"/>
          <w:szCs w:val="24"/>
        </w:rPr>
      </w:pPr>
      <w:r w:rsidRPr="00D41426">
        <w:rPr>
          <w:rFonts w:ascii="Arial" w:eastAsia="Calibri" w:hAnsi="Arial" w:cs="Arial"/>
          <w:b/>
          <w:bCs/>
          <w:sz w:val="24"/>
          <w:szCs w:val="24"/>
        </w:rPr>
        <w:t>PROYECTO DE LEY</w:t>
      </w:r>
    </w:p>
    <w:p w14:paraId="2BCC8564" w14:textId="77777777" w:rsidR="00D41426" w:rsidRPr="00D41426" w:rsidRDefault="00D41426" w:rsidP="00D41426">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
          <w:bCs/>
          <w:sz w:val="24"/>
          <w:szCs w:val="24"/>
        </w:rPr>
      </w:pPr>
    </w:p>
    <w:p w14:paraId="60262272" w14:textId="77777777" w:rsidR="00D41426" w:rsidRPr="00D41426" w:rsidRDefault="00D41426" w:rsidP="00D41426">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
          <w:bCs/>
          <w:sz w:val="24"/>
          <w:szCs w:val="24"/>
        </w:rPr>
      </w:pPr>
    </w:p>
    <w:p w14:paraId="32045671" w14:textId="77777777" w:rsidR="00D41426" w:rsidRPr="00D41426" w:rsidRDefault="00D41426" w:rsidP="00D41426">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
          <w:bCs/>
          <w:sz w:val="24"/>
          <w:szCs w:val="24"/>
        </w:rPr>
      </w:pPr>
    </w:p>
    <w:p w14:paraId="6B74FD85" w14:textId="77777777" w:rsidR="00D41426" w:rsidRPr="00D41426" w:rsidRDefault="00D41426" w:rsidP="00D41426">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
          <w:bCs/>
          <w:sz w:val="24"/>
          <w:szCs w:val="24"/>
        </w:rPr>
      </w:pPr>
    </w:p>
    <w:p w14:paraId="022EDAAB" w14:textId="77777777" w:rsidR="00D41426" w:rsidRPr="00D41426" w:rsidRDefault="00D41426" w:rsidP="00D41426">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
          <w:bCs/>
          <w:sz w:val="24"/>
          <w:szCs w:val="24"/>
        </w:rPr>
      </w:pPr>
      <w:r w:rsidRPr="00D41426">
        <w:rPr>
          <w:rFonts w:ascii="Arial" w:eastAsia="Calibri" w:hAnsi="Arial" w:cs="Arial"/>
          <w:b/>
          <w:bCs/>
          <w:sz w:val="24"/>
          <w:szCs w:val="24"/>
        </w:rPr>
        <w:t xml:space="preserve">REFORMA DE LOS ARTÍCULOS 106 BIS Y 106 TER DEL CÓDIGO </w:t>
      </w:r>
    </w:p>
    <w:p w14:paraId="5A8795A1" w14:textId="77777777" w:rsidR="00D41426" w:rsidRPr="00D41426" w:rsidRDefault="00D41426" w:rsidP="00D41426">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
          <w:bCs/>
          <w:sz w:val="24"/>
          <w:szCs w:val="24"/>
        </w:rPr>
      </w:pPr>
      <w:r w:rsidRPr="00D41426">
        <w:rPr>
          <w:rFonts w:ascii="Arial" w:eastAsia="Calibri" w:hAnsi="Arial" w:cs="Arial"/>
          <w:b/>
          <w:bCs/>
          <w:sz w:val="24"/>
          <w:szCs w:val="24"/>
        </w:rPr>
        <w:t>DE NORMAS Y PROCEDIMIENTOS TRIBUTARIOS</w:t>
      </w:r>
    </w:p>
    <w:p w14:paraId="1E843495" w14:textId="77777777" w:rsidR="00D41426" w:rsidRPr="00D41426" w:rsidRDefault="00D41426" w:rsidP="00D41426">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
          <w:bCs/>
          <w:sz w:val="24"/>
          <w:szCs w:val="24"/>
        </w:rPr>
      </w:pPr>
    </w:p>
    <w:p w14:paraId="50E2029B" w14:textId="77777777" w:rsidR="00D41426" w:rsidRDefault="00D41426" w:rsidP="00D41426">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
          <w:bCs/>
          <w:sz w:val="24"/>
          <w:szCs w:val="24"/>
        </w:rPr>
      </w:pPr>
    </w:p>
    <w:p w14:paraId="098AE348" w14:textId="77777777" w:rsidR="00D41426" w:rsidRPr="00D41426" w:rsidRDefault="00D41426" w:rsidP="00D41426">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
          <w:bCs/>
          <w:sz w:val="24"/>
          <w:szCs w:val="24"/>
        </w:rPr>
      </w:pPr>
    </w:p>
    <w:p w14:paraId="303DF502" w14:textId="77777777" w:rsidR="00D41426" w:rsidRPr="00D41426" w:rsidRDefault="00D41426" w:rsidP="00D41426">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
          <w:bCs/>
          <w:sz w:val="24"/>
          <w:szCs w:val="24"/>
        </w:rPr>
      </w:pPr>
    </w:p>
    <w:p w14:paraId="53ED1BE0" w14:textId="77777777" w:rsidR="00D41426" w:rsidRPr="00D41426" w:rsidRDefault="00D41426" w:rsidP="00D41426">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
          <w:bCs/>
          <w:sz w:val="24"/>
          <w:szCs w:val="24"/>
        </w:rPr>
      </w:pPr>
    </w:p>
    <w:p w14:paraId="4A534B86" w14:textId="77777777" w:rsidR="00D41426" w:rsidRPr="00D41426" w:rsidRDefault="00D41426" w:rsidP="00D41426">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
          <w:bCs/>
          <w:sz w:val="24"/>
          <w:szCs w:val="24"/>
        </w:rPr>
      </w:pPr>
    </w:p>
    <w:p w14:paraId="788523C6" w14:textId="77777777" w:rsidR="00D41426" w:rsidRDefault="00D41426" w:rsidP="00D41426">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
          <w:bCs/>
          <w:sz w:val="24"/>
          <w:szCs w:val="24"/>
        </w:rPr>
      </w:pPr>
      <w:r>
        <w:rPr>
          <w:rFonts w:ascii="Arial" w:eastAsia="Calibri" w:hAnsi="Arial" w:cs="Arial"/>
          <w:b/>
          <w:bCs/>
          <w:sz w:val="24"/>
          <w:szCs w:val="24"/>
        </w:rPr>
        <w:t>VARIOS SEÑORES DIPUTADOS Y</w:t>
      </w:r>
    </w:p>
    <w:p w14:paraId="26BA69CD" w14:textId="77777777" w:rsidR="00D41426" w:rsidRPr="00D41426" w:rsidRDefault="00D41426" w:rsidP="00D41426">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
          <w:bCs/>
          <w:sz w:val="24"/>
          <w:szCs w:val="24"/>
        </w:rPr>
      </w:pPr>
      <w:r>
        <w:rPr>
          <w:rFonts w:ascii="Arial" w:eastAsia="Calibri" w:hAnsi="Arial" w:cs="Arial"/>
          <w:b/>
          <w:bCs/>
          <w:sz w:val="24"/>
          <w:szCs w:val="24"/>
        </w:rPr>
        <w:t>SEÑORAS DIPUTADAS</w:t>
      </w:r>
    </w:p>
    <w:p w14:paraId="5879B583" w14:textId="77777777" w:rsidR="00D41426" w:rsidRPr="00D41426" w:rsidRDefault="00D41426" w:rsidP="00D41426">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
          <w:bCs/>
          <w:sz w:val="24"/>
          <w:szCs w:val="24"/>
        </w:rPr>
      </w:pPr>
    </w:p>
    <w:p w14:paraId="50354CD6" w14:textId="77777777" w:rsidR="00D41426" w:rsidRPr="00D41426" w:rsidRDefault="00D41426" w:rsidP="00D41426">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
          <w:bCs/>
          <w:sz w:val="24"/>
          <w:szCs w:val="24"/>
        </w:rPr>
      </w:pPr>
    </w:p>
    <w:p w14:paraId="27D19D50" w14:textId="77777777" w:rsidR="00D41426" w:rsidRDefault="00D41426" w:rsidP="00D41426">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
          <w:bCs/>
          <w:sz w:val="24"/>
          <w:szCs w:val="24"/>
        </w:rPr>
      </w:pPr>
    </w:p>
    <w:p w14:paraId="2F8CCB4C" w14:textId="77777777" w:rsidR="00D41426" w:rsidRDefault="00D41426" w:rsidP="00D41426">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
          <w:bCs/>
          <w:sz w:val="24"/>
          <w:szCs w:val="24"/>
        </w:rPr>
      </w:pPr>
    </w:p>
    <w:p w14:paraId="475FF628" w14:textId="77777777" w:rsidR="00D41426" w:rsidRPr="00D41426" w:rsidRDefault="00D41426" w:rsidP="00D41426">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
          <w:bCs/>
          <w:sz w:val="24"/>
          <w:szCs w:val="24"/>
        </w:rPr>
      </w:pPr>
    </w:p>
    <w:p w14:paraId="47732450" w14:textId="77777777" w:rsidR="00D41426" w:rsidRPr="00D41426" w:rsidRDefault="00D41426" w:rsidP="00D41426">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
          <w:bCs/>
          <w:sz w:val="24"/>
          <w:szCs w:val="24"/>
        </w:rPr>
      </w:pPr>
    </w:p>
    <w:p w14:paraId="2744EB5A" w14:textId="77777777" w:rsidR="00D41426" w:rsidRPr="00D41426" w:rsidRDefault="00D41426" w:rsidP="00D41426">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
          <w:bCs/>
          <w:sz w:val="24"/>
          <w:szCs w:val="24"/>
        </w:rPr>
      </w:pPr>
      <w:r>
        <w:rPr>
          <w:rFonts w:ascii="Arial" w:eastAsia="Calibri" w:hAnsi="Arial" w:cs="Arial"/>
          <w:b/>
          <w:bCs/>
          <w:sz w:val="24"/>
          <w:szCs w:val="24"/>
        </w:rPr>
        <w:t>EXPEDIENTE N.° 21.165</w:t>
      </w:r>
    </w:p>
    <w:p w14:paraId="1A05B0D1" w14:textId="77777777" w:rsidR="00D41426" w:rsidRPr="00D41426" w:rsidRDefault="00D41426" w:rsidP="00D41426">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
          <w:bCs/>
          <w:sz w:val="24"/>
          <w:szCs w:val="24"/>
        </w:rPr>
      </w:pPr>
    </w:p>
    <w:p w14:paraId="675D0296" w14:textId="77777777" w:rsidR="00D41426" w:rsidRDefault="00D41426" w:rsidP="00D41426">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
          <w:bCs/>
          <w:sz w:val="24"/>
          <w:szCs w:val="24"/>
        </w:rPr>
      </w:pPr>
    </w:p>
    <w:p w14:paraId="76392B53" w14:textId="77777777" w:rsidR="00D41426" w:rsidRPr="00D41426" w:rsidRDefault="00D41426" w:rsidP="00D41426">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
          <w:bCs/>
          <w:sz w:val="24"/>
          <w:szCs w:val="24"/>
        </w:rPr>
      </w:pPr>
    </w:p>
    <w:p w14:paraId="0A401281" w14:textId="77777777" w:rsidR="00D41426" w:rsidRPr="00D41426" w:rsidRDefault="00D41426" w:rsidP="00D41426">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
          <w:bCs/>
          <w:sz w:val="24"/>
          <w:szCs w:val="24"/>
        </w:rPr>
      </w:pPr>
    </w:p>
    <w:p w14:paraId="5712A25F" w14:textId="77777777" w:rsidR="00D41426" w:rsidRPr="00D41426" w:rsidRDefault="00D41426" w:rsidP="00D41426">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
          <w:bCs/>
          <w:sz w:val="24"/>
          <w:szCs w:val="24"/>
        </w:rPr>
      </w:pPr>
    </w:p>
    <w:p w14:paraId="00EC099B" w14:textId="77777777" w:rsidR="00D41426" w:rsidRPr="00D41426" w:rsidRDefault="00D41426" w:rsidP="00D41426">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
          <w:bCs/>
          <w:sz w:val="24"/>
          <w:szCs w:val="24"/>
        </w:rPr>
      </w:pPr>
    </w:p>
    <w:p w14:paraId="7A3932C8" w14:textId="77777777" w:rsidR="00D41426" w:rsidRPr="00D41426" w:rsidRDefault="00D41426" w:rsidP="00D41426">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
          <w:bCs/>
          <w:sz w:val="24"/>
          <w:szCs w:val="24"/>
        </w:rPr>
      </w:pPr>
      <w:r w:rsidRPr="00D41426">
        <w:rPr>
          <w:rFonts w:ascii="Arial" w:eastAsia="Calibri" w:hAnsi="Arial" w:cs="Arial"/>
          <w:b/>
          <w:bCs/>
          <w:sz w:val="24"/>
          <w:szCs w:val="24"/>
        </w:rPr>
        <w:t>DEPARTAMENTO DE SERVICIOS PARLAMENTARIOS</w:t>
      </w:r>
    </w:p>
    <w:p w14:paraId="7F5E1AB0" w14:textId="77777777" w:rsidR="00D41426" w:rsidRPr="00D41426" w:rsidRDefault="00D41426" w:rsidP="00D41426">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
          <w:bCs/>
          <w:sz w:val="24"/>
          <w:szCs w:val="24"/>
        </w:rPr>
      </w:pPr>
      <w:r w:rsidRPr="00D41426">
        <w:rPr>
          <w:rFonts w:ascii="Arial" w:eastAsia="Calibri" w:hAnsi="Arial" w:cs="Arial"/>
          <w:b/>
          <w:bCs/>
          <w:sz w:val="24"/>
          <w:szCs w:val="24"/>
        </w:rPr>
        <w:t>UNIDAD DE PROYECTOS, EXPEDIENTES Y LEYES</w:t>
      </w:r>
    </w:p>
    <w:p w14:paraId="5832DD3A" w14:textId="77777777" w:rsidR="00D41426" w:rsidRPr="00D41426" w:rsidRDefault="00D41426" w:rsidP="00D41426">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
          <w:bCs/>
          <w:sz w:val="24"/>
          <w:szCs w:val="24"/>
        </w:rPr>
      </w:pPr>
    </w:p>
    <w:p w14:paraId="325DEDB0" w14:textId="77777777" w:rsidR="00D41426" w:rsidRPr="00D41426" w:rsidRDefault="00D41426" w:rsidP="00D41426">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
          <w:bCs/>
          <w:sz w:val="24"/>
          <w:szCs w:val="24"/>
        </w:rPr>
      </w:pPr>
    </w:p>
    <w:p w14:paraId="587436D4" w14:textId="77777777" w:rsidR="00D41426" w:rsidRPr="00D41426" w:rsidRDefault="00D41426" w:rsidP="00D41426">
      <w:pPr>
        <w:spacing w:after="0" w:line="240" w:lineRule="auto"/>
        <w:ind w:left="1418" w:hanging="1418"/>
        <w:contextualSpacing/>
        <w:jc w:val="both"/>
        <w:rPr>
          <w:rFonts w:ascii="Arial" w:eastAsia="Arial" w:hAnsi="Arial" w:cs="Arial"/>
          <w:b/>
          <w:bCs/>
          <w:color w:val="000000"/>
          <w:sz w:val="24"/>
          <w:szCs w:val="24"/>
          <w:bdr w:val="none" w:sz="0" w:space="0" w:color="auto" w:frame="1"/>
        </w:rPr>
      </w:pPr>
    </w:p>
    <w:p w14:paraId="7D683E33" w14:textId="77777777" w:rsidR="00D41426" w:rsidRPr="00D41426" w:rsidRDefault="00D41426" w:rsidP="00D41426">
      <w:pPr>
        <w:spacing w:after="0" w:line="240" w:lineRule="auto"/>
        <w:ind w:left="1418" w:hanging="1418"/>
        <w:contextualSpacing/>
        <w:jc w:val="both"/>
        <w:rPr>
          <w:rFonts w:ascii="Arial" w:eastAsia="Arial" w:hAnsi="Arial" w:cs="Arial"/>
          <w:b/>
          <w:bCs/>
          <w:color w:val="000000"/>
          <w:sz w:val="24"/>
          <w:szCs w:val="24"/>
          <w:bdr w:val="none" w:sz="0" w:space="0" w:color="auto" w:frame="1"/>
        </w:rPr>
      </w:pPr>
    </w:p>
    <w:p w14:paraId="23272CE8" w14:textId="77777777" w:rsidR="00D41426" w:rsidRPr="00D41426" w:rsidRDefault="00D41426" w:rsidP="00D41426">
      <w:pPr>
        <w:spacing w:after="0" w:line="240" w:lineRule="auto"/>
        <w:ind w:left="1418" w:hanging="1418"/>
        <w:contextualSpacing/>
        <w:jc w:val="both"/>
        <w:rPr>
          <w:rFonts w:ascii="Arial" w:eastAsia="Arial" w:hAnsi="Arial" w:cs="Arial"/>
          <w:b/>
          <w:bCs/>
          <w:color w:val="000000"/>
          <w:sz w:val="24"/>
          <w:szCs w:val="24"/>
          <w:bdr w:val="none" w:sz="0" w:space="0" w:color="auto" w:frame="1"/>
        </w:rPr>
      </w:pPr>
      <w:r w:rsidRPr="00D41426">
        <w:rPr>
          <w:rFonts w:ascii="Arial" w:eastAsia="Arial" w:hAnsi="Arial" w:cs="Arial"/>
          <w:b/>
          <w:bCs/>
          <w:color w:val="000000"/>
          <w:sz w:val="24"/>
          <w:szCs w:val="24"/>
          <w:bdr w:val="none" w:sz="0" w:space="0" w:color="auto" w:frame="1"/>
        </w:rPr>
        <w:t>NOTA:</w:t>
      </w:r>
      <w:r w:rsidRPr="00D41426">
        <w:rPr>
          <w:rFonts w:ascii="Arial" w:eastAsia="Arial" w:hAnsi="Arial" w:cs="Arial"/>
          <w:b/>
          <w:bCs/>
          <w:color w:val="000000"/>
          <w:sz w:val="24"/>
          <w:szCs w:val="24"/>
          <w:bdr w:val="none" w:sz="0" w:space="0" w:color="auto" w:frame="1"/>
        </w:rPr>
        <w:tab/>
        <w:t>A solicitud de</w:t>
      </w:r>
      <w:r>
        <w:rPr>
          <w:rFonts w:ascii="Arial" w:eastAsia="Arial" w:hAnsi="Arial" w:cs="Arial"/>
          <w:b/>
          <w:bCs/>
          <w:color w:val="000000"/>
          <w:sz w:val="24"/>
          <w:szCs w:val="24"/>
          <w:bdr w:val="none" w:sz="0" w:space="0" w:color="auto" w:frame="1"/>
        </w:rPr>
        <w:t xml:space="preserve"> los </w:t>
      </w:r>
      <w:r w:rsidRPr="00D41426">
        <w:rPr>
          <w:rFonts w:ascii="Arial" w:eastAsia="Arial" w:hAnsi="Arial" w:cs="Arial"/>
          <w:b/>
          <w:bCs/>
          <w:color w:val="000000"/>
          <w:sz w:val="24"/>
          <w:szCs w:val="24"/>
          <w:bdr w:val="none" w:sz="0" w:space="0" w:color="auto" w:frame="1"/>
        </w:rPr>
        <w:t>proponente</w:t>
      </w:r>
      <w:r>
        <w:rPr>
          <w:rFonts w:ascii="Arial" w:eastAsia="Arial" w:hAnsi="Arial" w:cs="Arial"/>
          <w:b/>
          <w:bCs/>
          <w:color w:val="000000"/>
          <w:sz w:val="24"/>
          <w:szCs w:val="24"/>
          <w:bdr w:val="none" w:sz="0" w:space="0" w:color="auto" w:frame="1"/>
        </w:rPr>
        <w:t>s</w:t>
      </w:r>
      <w:r w:rsidRPr="00D41426">
        <w:rPr>
          <w:rFonts w:ascii="Arial" w:eastAsia="Arial" w:hAnsi="Arial" w:cs="Arial"/>
          <w:b/>
          <w:bCs/>
          <w:color w:val="000000"/>
          <w:sz w:val="24"/>
          <w:szCs w:val="24"/>
          <w:bdr w:val="none" w:sz="0" w:space="0" w:color="auto" w:frame="1"/>
        </w:rPr>
        <w:t>, este Departamento no realizó la revisión de errores formales, materiales e idiomáticos que pueda tener este proyecto de ley.</w:t>
      </w:r>
    </w:p>
    <w:p w14:paraId="30F275DB" w14:textId="77777777" w:rsidR="00D41426" w:rsidRPr="00D41426" w:rsidRDefault="00D41426" w:rsidP="00D41426">
      <w:pPr>
        <w:spacing w:after="0" w:line="240" w:lineRule="auto"/>
        <w:contextualSpacing/>
        <w:jc w:val="both"/>
        <w:rPr>
          <w:rFonts w:ascii="Arial" w:eastAsia="Arial" w:hAnsi="Arial" w:cs="Arial"/>
          <w:b/>
          <w:bCs/>
          <w:color w:val="000000"/>
          <w:sz w:val="24"/>
          <w:szCs w:val="24"/>
          <w:bdr w:val="none" w:sz="0" w:space="0" w:color="auto" w:frame="1"/>
        </w:rPr>
        <w:sectPr w:rsidR="00D41426" w:rsidRPr="00D41426" w:rsidSect="00EC6F54">
          <w:headerReference w:type="default" r:id="rId8"/>
          <w:pgSz w:w="12240" w:h="15840"/>
          <w:pgMar w:top="1417" w:right="1701" w:bottom="1417" w:left="1701" w:header="708" w:footer="708" w:gutter="0"/>
          <w:pgNumType w:start="1"/>
          <w:cols w:space="708"/>
          <w:titlePg/>
          <w:docGrid w:linePitch="360"/>
        </w:sectPr>
      </w:pPr>
    </w:p>
    <w:p w14:paraId="60A02787" w14:textId="77777777" w:rsidR="006635F4" w:rsidRPr="006635F4" w:rsidRDefault="006635F4" w:rsidP="006635F4">
      <w:pPr>
        <w:spacing w:after="0" w:line="240" w:lineRule="auto"/>
        <w:jc w:val="center"/>
        <w:rPr>
          <w:rFonts w:ascii="Arial" w:eastAsia="Calibri" w:hAnsi="Arial" w:cs="Arial"/>
          <w:bCs/>
          <w:sz w:val="24"/>
          <w:szCs w:val="24"/>
          <w:lang w:val="es-ES_tradnl"/>
        </w:rPr>
      </w:pPr>
      <w:r w:rsidRPr="006635F4">
        <w:rPr>
          <w:rFonts w:ascii="Arial" w:eastAsia="Calibri" w:hAnsi="Arial" w:cs="Arial"/>
          <w:bCs/>
          <w:sz w:val="24"/>
          <w:szCs w:val="24"/>
          <w:lang w:val="es-ES_tradnl"/>
        </w:rPr>
        <w:lastRenderedPageBreak/>
        <w:t>PROYECTO DE LEY</w:t>
      </w:r>
    </w:p>
    <w:p w14:paraId="7B193F21" w14:textId="77777777" w:rsidR="006635F4" w:rsidRPr="006635F4" w:rsidRDefault="006635F4" w:rsidP="006635F4">
      <w:pPr>
        <w:spacing w:after="0" w:line="240" w:lineRule="auto"/>
        <w:jc w:val="center"/>
        <w:rPr>
          <w:rFonts w:ascii="Arial" w:eastAsia="Calibri" w:hAnsi="Arial" w:cs="Arial"/>
          <w:bCs/>
          <w:sz w:val="24"/>
          <w:szCs w:val="24"/>
        </w:rPr>
      </w:pPr>
    </w:p>
    <w:p w14:paraId="1297D412" w14:textId="77777777" w:rsidR="006635F4" w:rsidRDefault="006635F4" w:rsidP="006635F4">
      <w:pPr>
        <w:spacing w:after="0" w:line="240" w:lineRule="auto"/>
        <w:jc w:val="center"/>
        <w:rPr>
          <w:rFonts w:ascii="Arial" w:eastAsia="Calibri" w:hAnsi="Arial" w:cs="Arial"/>
          <w:b/>
          <w:bCs/>
          <w:sz w:val="24"/>
          <w:szCs w:val="24"/>
        </w:rPr>
      </w:pPr>
      <w:r w:rsidRPr="006635F4">
        <w:rPr>
          <w:rFonts w:ascii="Arial" w:eastAsia="Calibri" w:hAnsi="Arial" w:cs="Arial"/>
          <w:b/>
          <w:bCs/>
          <w:sz w:val="24"/>
          <w:szCs w:val="24"/>
        </w:rPr>
        <w:t xml:space="preserve">REFORMA DE LOS ARTÍCULOS 106 BIS Y 106 TER DEL CÓDIGO </w:t>
      </w:r>
    </w:p>
    <w:p w14:paraId="65AF6C69" w14:textId="77777777" w:rsidR="006635F4" w:rsidRPr="006635F4" w:rsidRDefault="006635F4" w:rsidP="006635F4">
      <w:pPr>
        <w:spacing w:after="0" w:line="240" w:lineRule="auto"/>
        <w:jc w:val="center"/>
        <w:rPr>
          <w:rFonts w:ascii="Arial" w:eastAsia="Calibri" w:hAnsi="Arial" w:cs="Arial"/>
          <w:b/>
          <w:bCs/>
          <w:sz w:val="24"/>
          <w:szCs w:val="24"/>
        </w:rPr>
      </w:pPr>
      <w:r w:rsidRPr="006635F4">
        <w:rPr>
          <w:rFonts w:ascii="Arial" w:eastAsia="Calibri" w:hAnsi="Arial" w:cs="Arial"/>
          <w:b/>
          <w:bCs/>
          <w:sz w:val="24"/>
          <w:szCs w:val="24"/>
        </w:rPr>
        <w:t>DE NORMAS Y PROCEDIMIENTOS TRIBUTARIOS</w:t>
      </w:r>
    </w:p>
    <w:p w14:paraId="15DEE8FD" w14:textId="77777777" w:rsidR="006635F4" w:rsidRDefault="006635F4" w:rsidP="00661346">
      <w:pPr>
        <w:spacing w:after="0" w:line="240" w:lineRule="auto"/>
        <w:jc w:val="right"/>
        <w:rPr>
          <w:rFonts w:ascii="Arial" w:eastAsia="Calibri" w:hAnsi="Arial" w:cs="Arial"/>
          <w:b/>
          <w:bCs/>
          <w:sz w:val="24"/>
          <w:szCs w:val="24"/>
        </w:rPr>
      </w:pPr>
    </w:p>
    <w:p w14:paraId="239CFA85" w14:textId="77777777" w:rsidR="00661346" w:rsidRPr="006635F4" w:rsidRDefault="00661346" w:rsidP="00661346">
      <w:pPr>
        <w:spacing w:after="0" w:line="240" w:lineRule="auto"/>
        <w:jc w:val="right"/>
        <w:rPr>
          <w:rFonts w:ascii="Arial" w:eastAsia="Calibri" w:hAnsi="Arial" w:cs="Arial"/>
          <w:b/>
          <w:bCs/>
          <w:sz w:val="24"/>
          <w:szCs w:val="24"/>
        </w:rPr>
      </w:pPr>
    </w:p>
    <w:p w14:paraId="5843742A" w14:textId="77777777" w:rsidR="006635F4" w:rsidRDefault="006635F4" w:rsidP="006635F4">
      <w:pPr>
        <w:spacing w:after="0" w:line="240" w:lineRule="auto"/>
        <w:jc w:val="right"/>
        <w:rPr>
          <w:rFonts w:ascii="Arial" w:eastAsia="Calibri" w:hAnsi="Arial" w:cs="Arial"/>
          <w:bCs/>
          <w:sz w:val="24"/>
          <w:szCs w:val="24"/>
          <w:lang w:val="it-IT"/>
        </w:rPr>
      </w:pPr>
      <w:r w:rsidRPr="006635F4">
        <w:rPr>
          <w:rFonts w:ascii="Arial" w:eastAsia="Calibri" w:hAnsi="Arial" w:cs="Arial"/>
          <w:bCs/>
          <w:sz w:val="24"/>
          <w:szCs w:val="24"/>
          <w:lang w:val="it-IT"/>
        </w:rPr>
        <w:t>Expediente N</w:t>
      </w:r>
      <w:r>
        <w:rPr>
          <w:rFonts w:ascii="Arial" w:eastAsia="Calibri" w:hAnsi="Arial" w:cs="Arial"/>
          <w:bCs/>
          <w:sz w:val="24"/>
          <w:szCs w:val="24"/>
          <w:lang w:val="it-IT"/>
        </w:rPr>
        <w:t>.</w:t>
      </w:r>
      <w:r w:rsidRPr="006635F4">
        <w:rPr>
          <w:rFonts w:ascii="Arial" w:eastAsia="Calibri" w:hAnsi="Arial" w:cs="Arial"/>
          <w:bCs/>
          <w:sz w:val="24"/>
          <w:szCs w:val="24"/>
          <w:lang w:val="it-IT"/>
        </w:rPr>
        <w:t xml:space="preserve">º </w:t>
      </w:r>
      <w:r>
        <w:rPr>
          <w:rFonts w:ascii="Arial" w:eastAsia="Calibri" w:hAnsi="Arial" w:cs="Arial"/>
          <w:bCs/>
          <w:sz w:val="24"/>
          <w:szCs w:val="24"/>
          <w:lang w:val="it-IT"/>
        </w:rPr>
        <w:t>21.165</w:t>
      </w:r>
    </w:p>
    <w:p w14:paraId="2ECC63C6" w14:textId="77777777" w:rsidR="00661346" w:rsidRDefault="00661346" w:rsidP="006635F4">
      <w:pPr>
        <w:spacing w:after="0" w:line="240" w:lineRule="auto"/>
        <w:jc w:val="right"/>
        <w:rPr>
          <w:rFonts w:ascii="Arial" w:eastAsia="Calibri" w:hAnsi="Arial" w:cs="Arial"/>
          <w:bCs/>
          <w:sz w:val="24"/>
          <w:szCs w:val="24"/>
          <w:lang w:val="it-IT"/>
        </w:rPr>
      </w:pPr>
    </w:p>
    <w:p w14:paraId="721C67B6" w14:textId="77777777" w:rsidR="00661346" w:rsidRPr="006635F4" w:rsidRDefault="00661346" w:rsidP="006635F4">
      <w:pPr>
        <w:spacing w:after="0" w:line="240" w:lineRule="auto"/>
        <w:jc w:val="right"/>
        <w:rPr>
          <w:rFonts w:ascii="Arial" w:eastAsia="Calibri" w:hAnsi="Arial" w:cs="Arial"/>
          <w:bCs/>
          <w:sz w:val="24"/>
          <w:szCs w:val="24"/>
        </w:rPr>
      </w:pPr>
    </w:p>
    <w:p w14:paraId="46C3A794" w14:textId="77777777" w:rsidR="006635F4" w:rsidRPr="006635F4" w:rsidRDefault="006635F4" w:rsidP="006635F4">
      <w:pPr>
        <w:spacing w:after="0" w:line="240" w:lineRule="auto"/>
        <w:jc w:val="both"/>
        <w:rPr>
          <w:rFonts w:ascii="Arial" w:eastAsia="Calibri" w:hAnsi="Arial" w:cs="Arial"/>
          <w:bCs/>
          <w:sz w:val="24"/>
          <w:szCs w:val="24"/>
          <w:lang w:val="es-ES_tradnl"/>
        </w:rPr>
      </w:pPr>
      <w:r w:rsidRPr="006635F4">
        <w:rPr>
          <w:rFonts w:ascii="Arial" w:eastAsia="Calibri" w:hAnsi="Arial" w:cs="Arial"/>
          <w:bCs/>
          <w:sz w:val="24"/>
          <w:szCs w:val="24"/>
          <w:lang w:val="es-ES_tradnl"/>
        </w:rPr>
        <w:t>ASAMBLEA LEGISLATIVA:</w:t>
      </w:r>
    </w:p>
    <w:p w14:paraId="5B00B959" w14:textId="77777777" w:rsidR="006635F4" w:rsidRPr="00661346" w:rsidRDefault="006635F4" w:rsidP="006635F4">
      <w:pPr>
        <w:spacing w:after="0" w:line="240" w:lineRule="auto"/>
        <w:jc w:val="both"/>
        <w:rPr>
          <w:rFonts w:ascii="Arial" w:eastAsia="Calibri" w:hAnsi="Arial" w:cs="Arial"/>
          <w:sz w:val="24"/>
          <w:szCs w:val="24"/>
          <w:lang w:eastAsia="es-ES"/>
        </w:rPr>
      </w:pPr>
    </w:p>
    <w:p w14:paraId="45D36A57" w14:textId="77777777" w:rsidR="00661346" w:rsidRPr="006635F4" w:rsidRDefault="00661346" w:rsidP="006635F4">
      <w:pPr>
        <w:spacing w:after="0" w:line="240" w:lineRule="auto"/>
        <w:jc w:val="both"/>
        <w:rPr>
          <w:rFonts w:ascii="Arial" w:eastAsia="Calibri" w:hAnsi="Arial" w:cs="Arial"/>
          <w:sz w:val="24"/>
          <w:szCs w:val="24"/>
          <w:lang w:eastAsia="es-ES"/>
        </w:rPr>
      </w:pPr>
    </w:p>
    <w:p w14:paraId="5AA371BB" w14:textId="77777777" w:rsidR="006635F4" w:rsidRPr="006635F4" w:rsidRDefault="006635F4" w:rsidP="006635F4">
      <w:pPr>
        <w:spacing w:after="0" w:line="240" w:lineRule="auto"/>
        <w:jc w:val="both"/>
        <w:rPr>
          <w:rFonts w:ascii="Arial" w:eastAsia="Calibri" w:hAnsi="Arial" w:cs="Arial"/>
          <w:sz w:val="24"/>
          <w:szCs w:val="24"/>
          <w:lang w:eastAsia="es-ES"/>
        </w:rPr>
      </w:pPr>
      <w:r w:rsidRPr="006635F4">
        <w:rPr>
          <w:rFonts w:ascii="Arial" w:eastAsia="Calibri" w:hAnsi="Arial" w:cs="Arial"/>
          <w:sz w:val="24"/>
          <w:szCs w:val="24"/>
          <w:lang w:eastAsia="es-ES"/>
        </w:rPr>
        <w:t xml:space="preserve">En los últimos años ha quedado en evidencia la relevancia que tiene para las autoridades tributarias el contar con información precisa y actual para el desarrollo de las múltiples actuaciones a su cargo. </w:t>
      </w:r>
      <w:r>
        <w:rPr>
          <w:rFonts w:ascii="Arial" w:eastAsia="Calibri" w:hAnsi="Arial" w:cs="Arial"/>
          <w:sz w:val="24"/>
          <w:szCs w:val="24"/>
          <w:lang w:eastAsia="es-ES"/>
        </w:rPr>
        <w:t xml:space="preserve"> </w:t>
      </w:r>
      <w:r w:rsidRPr="006635F4">
        <w:rPr>
          <w:rFonts w:ascii="Arial" w:eastAsia="Calibri" w:hAnsi="Arial" w:cs="Arial"/>
          <w:sz w:val="24"/>
          <w:szCs w:val="24"/>
          <w:lang w:eastAsia="es-ES"/>
        </w:rPr>
        <w:t>Tan es así que organizaciones internacionales, como lo es la Organización para la Cooperación y el Desarrollo Económico (OCDE), han dedicado tiempo y recursos al desarrollo de estándares internacionales de transparencia fiscal, enfocados en el fortalecimiento de la cooperación internacional y asistencia mutua entre jurisdicciones, dentro de la que se destaca lo relativo a la disponibilidad, acceso e intercambio efectivo de información tributaria.</w:t>
      </w:r>
    </w:p>
    <w:p w14:paraId="4B4F02E0" w14:textId="77777777" w:rsidR="006635F4" w:rsidRPr="006635F4" w:rsidRDefault="006635F4" w:rsidP="006635F4">
      <w:pPr>
        <w:spacing w:after="0" w:line="240" w:lineRule="auto"/>
        <w:jc w:val="both"/>
        <w:rPr>
          <w:rFonts w:ascii="Arial" w:eastAsia="Calibri" w:hAnsi="Arial" w:cs="Arial"/>
          <w:sz w:val="24"/>
          <w:szCs w:val="24"/>
          <w:lang w:eastAsia="es-ES"/>
        </w:rPr>
      </w:pPr>
    </w:p>
    <w:p w14:paraId="312E3374" w14:textId="77777777" w:rsidR="006635F4" w:rsidRPr="006635F4" w:rsidRDefault="006635F4" w:rsidP="006635F4">
      <w:pPr>
        <w:spacing w:after="0" w:line="240" w:lineRule="auto"/>
        <w:jc w:val="both"/>
        <w:rPr>
          <w:rFonts w:ascii="Arial" w:eastAsia="Calibri" w:hAnsi="Arial" w:cs="Arial"/>
          <w:sz w:val="24"/>
          <w:szCs w:val="24"/>
          <w:lang w:eastAsia="es-ES"/>
        </w:rPr>
      </w:pPr>
      <w:r w:rsidRPr="006635F4">
        <w:rPr>
          <w:rFonts w:ascii="Arial" w:eastAsia="Calibri" w:hAnsi="Arial" w:cs="Arial"/>
          <w:sz w:val="24"/>
          <w:szCs w:val="24"/>
          <w:lang w:eastAsia="es-ES"/>
        </w:rPr>
        <w:t>En lo que respecta a la disponibilidad y acceso a la información tributaria, se ha señalado que esta debe comprender aquella información en poder de entidades financieras, por estimarse que esta, por su propia naturaleza, resulta previsiblemente pertinente para efectos tributarios, tanto de las autoridades tributarias domésticas como de las de otras jurisdicciones.</w:t>
      </w:r>
    </w:p>
    <w:p w14:paraId="5478A814" w14:textId="77777777" w:rsidR="006635F4" w:rsidRPr="006635F4" w:rsidRDefault="006635F4" w:rsidP="006635F4">
      <w:pPr>
        <w:spacing w:after="0" w:line="240" w:lineRule="auto"/>
        <w:jc w:val="both"/>
        <w:rPr>
          <w:rFonts w:ascii="Arial" w:eastAsia="Calibri" w:hAnsi="Arial" w:cs="Arial"/>
          <w:sz w:val="24"/>
          <w:szCs w:val="24"/>
          <w:lang w:eastAsia="es-ES"/>
        </w:rPr>
      </w:pPr>
    </w:p>
    <w:p w14:paraId="33D4F749" w14:textId="77777777" w:rsidR="006635F4" w:rsidRPr="006635F4" w:rsidRDefault="006635F4" w:rsidP="006635F4">
      <w:pPr>
        <w:spacing w:after="0" w:line="240" w:lineRule="auto"/>
        <w:jc w:val="both"/>
        <w:rPr>
          <w:rFonts w:ascii="Arial" w:eastAsia="Calibri" w:hAnsi="Arial" w:cs="Arial"/>
          <w:sz w:val="24"/>
          <w:szCs w:val="24"/>
          <w:lang w:eastAsia="es-ES"/>
        </w:rPr>
      </w:pPr>
      <w:r w:rsidRPr="006635F4">
        <w:rPr>
          <w:rFonts w:ascii="Arial" w:eastAsia="Calibri" w:hAnsi="Arial" w:cs="Arial"/>
          <w:sz w:val="24"/>
          <w:szCs w:val="24"/>
          <w:lang w:eastAsia="es-ES"/>
        </w:rPr>
        <w:t xml:space="preserve">En línea con tal tendencia internacional y con el fin de cumplir con los estándares de transparencia fiscal, Costa Rica ha ido adaptando su legislación tributaria. </w:t>
      </w:r>
      <w:r w:rsidR="00661346">
        <w:rPr>
          <w:rFonts w:ascii="Arial" w:eastAsia="Calibri" w:hAnsi="Arial" w:cs="Arial"/>
          <w:sz w:val="24"/>
          <w:szCs w:val="24"/>
          <w:lang w:eastAsia="es-ES"/>
        </w:rPr>
        <w:t xml:space="preserve"> </w:t>
      </w:r>
      <w:r w:rsidRPr="006635F4">
        <w:rPr>
          <w:rFonts w:ascii="Arial" w:eastAsia="Calibri" w:hAnsi="Arial" w:cs="Arial"/>
          <w:sz w:val="24"/>
          <w:szCs w:val="24"/>
          <w:lang w:eastAsia="es-ES"/>
        </w:rPr>
        <w:t>Así, por medio de la Ley para el Cumplimiento del Estándar de Transparencia Fiscal, Ley Nº 9068 del 10 de setiembre de 2012, se modificaron e incorporaron nuevas disposiciones al Código de Normas y Procedimientos Tributarios para fortalecer la potestad de la Administración Tributaria para acceder a información previsiblemente pertinente para efectos tributarios.</w:t>
      </w:r>
    </w:p>
    <w:p w14:paraId="0C1F7434" w14:textId="77777777" w:rsidR="006635F4" w:rsidRPr="006635F4" w:rsidRDefault="006635F4" w:rsidP="006635F4">
      <w:pPr>
        <w:spacing w:after="0" w:line="240" w:lineRule="auto"/>
        <w:jc w:val="both"/>
        <w:rPr>
          <w:rFonts w:ascii="Arial" w:eastAsia="Calibri" w:hAnsi="Arial" w:cs="Arial"/>
          <w:sz w:val="24"/>
          <w:szCs w:val="24"/>
          <w:lang w:eastAsia="es-ES"/>
        </w:rPr>
      </w:pPr>
    </w:p>
    <w:p w14:paraId="2DB9A9B6" w14:textId="77777777" w:rsidR="006635F4" w:rsidRPr="006635F4" w:rsidRDefault="006635F4" w:rsidP="006635F4">
      <w:pPr>
        <w:spacing w:after="0" w:line="240" w:lineRule="auto"/>
        <w:jc w:val="both"/>
        <w:rPr>
          <w:rFonts w:ascii="Arial" w:eastAsia="Calibri" w:hAnsi="Arial" w:cs="Arial"/>
          <w:sz w:val="24"/>
          <w:szCs w:val="24"/>
          <w:lang w:eastAsia="es-ES"/>
        </w:rPr>
      </w:pPr>
      <w:r w:rsidRPr="006635F4">
        <w:rPr>
          <w:rFonts w:ascii="Arial" w:eastAsia="Calibri" w:hAnsi="Arial" w:cs="Arial"/>
          <w:sz w:val="24"/>
          <w:szCs w:val="24"/>
          <w:lang w:eastAsia="es-ES"/>
        </w:rPr>
        <w:t>Dentro de estos cambios y en lo que interesa para efectos de la presente iniciativa, conviene destacar lo relativo a la información en poder de entidades financieras, la cual inicialmente estaba protegida por el secreto bancario y solo podía ser accedida por la Administración Tributaria tratándose de asuntos de carácter penal y contando con una autorizaci</w:t>
      </w:r>
      <w:r w:rsidR="00661346">
        <w:rPr>
          <w:rFonts w:ascii="Arial" w:eastAsia="Calibri" w:hAnsi="Arial" w:cs="Arial"/>
          <w:sz w:val="24"/>
          <w:szCs w:val="24"/>
          <w:lang w:eastAsia="es-ES"/>
        </w:rPr>
        <w:t>ón concedida por un juez penal.</w:t>
      </w:r>
    </w:p>
    <w:p w14:paraId="46B07525" w14:textId="77777777" w:rsidR="006635F4" w:rsidRPr="006635F4" w:rsidRDefault="006635F4" w:rsidP="006635F4">
      <w:pPr>
        <w:spacing w:after="0" w:line="240" w:lineRule="auto"/>
        <w:jc w:val="both"/>
        <w:rPr>
          <w:rFonts w:ascii="Arial" w:eastAsia="Calibri" w:hAnsi="Arial" w:cs="Arial"/>
          <w:sz w:val="24"/>
          <w:szCs w:val="24"/>
          <w:lang w:eastAsia="es-ES"/>
        </w:rPr>
      </w:pPr>
    </w:p>
    <w:p w14:paraId="7A8AF7F6" w14:textId="77777777" w:rsidR="006635F4" w:rsidRPr="006635F4" w:rsidRDefault="006635F4" w:rsidP="006635F4">
      <w:pPr>
        <w:spacing w:after="0" w:line="240" w:lineRule="auto"/>
        <w:jc w:val="both"/>
        <w:rPr>
          <w:rFonts w:ascii="Arial" w:eastAsia="Calibri" w:hAnsi="Arial" w:cs="Arial"/>
          <w:sz w:val="24"/>
          <w:szCs w:val="24"/>
          <w:lang w:eastAsia="es-ES"/>
        </w:rPr>
      </w:pPr>
      <w:r w:rsidRPr="006635F4">
        <w:rPr>
          <w:rFonts w:ascii="Arial" w:eastAsia="Calibri" w:hAnsi="Arial" w:cs="Arial"/>
          <w:sz w:val="24"/>
          <w:szCs w:val="24"/>
          <w:lang w:eastAsia="es-ES"/>
        </w:rPr>
        <w:t>Con la Ley para el Cumplimiento del Estándar de Transparencia Fiscal se adicionó el artículo 106 bis al Código de Normas y Procedimientos Tributarios, a partir del cual se estableció el deber de las entidades financieras de suministrar información financiera a la Administración Tributaria y se definió qué tipo de información en su poder se considera previsiblemente perti</w:t>
      </w:r>
      <w:r w:rsidR="00661346">
        <w:rPr>
          <w:rFonts w:ascii="Arial" w:eastAsia="Calibri" w:hAnsi="Arial" w:cs="Arial"/>
          <w:sz w:val="24"/>
          <w:szCs w:val="24"/>
          <w:lang w:eastAsia="es-ES"/>
        </w:rPr>
        <w:t>nente para efectos tributarios.</w:t>
      </w:r>
    </w:p>
    <w:p w14:paraId="40578B4F" w14:textId="77777777" w:rsidR="006635F4" w:rsidRPr="006635F4" w:rsidRDefault="006635F4" w:rsidP="006635F4">
      <w:pPr>
        <w:spacing w:after="0" w:line="240" w:lineRule="auto"/>
        <w:jc w:val="both"/>
        <w:rPr>
          <w:rFonts w:ascii="Arial" w:eastAsia="Calibri" w:hAnsi="Arial" w:cs="Arial"/>
          <w:sz w:val="24"/>
          <w:szCs w:val="24"/>
          <w:lang w:eastAsia="es-ES"/>
        </w:rPr>
      </w:pPr>
      <w:r w:rsidRPr="006635F4">
        <w:rPr>
          <w:rFonts w:ascii="Arial" w:eastAsia="Calibri" w:hAnsi="Arial" w:cs="Arial"/>
          <w:sz w:val="24"/>
          <w:szCs w:val="24"/>
          <w:lang w:eastAsia="es-ES"/>
        </w:rPr>
        <w:lastRenderedPageBreak/>
        <w:t xml:space="preserve">En tal oportunidad, también se incorporó el artículo 106 ter del Código de Normas y Procedimientos Tributarios que establece un procedimiento especial para que la Administración Tributaria solicite la autorización de un juez contencioso administrativo y de este modo acceda a información en poder de entidades financieras, siempre y cuando </w:t>
      </w:r>
      <w:proofErr w:type="spellStart"/>
      <w:r w:rsidRPr="006635F4">
        <w:rPr>
          <w:rFonts w:ascii="Arial" w:eastAsia="Calibri" w:hAnsi="Arial" w:cs="Arial"/>
          <w:sz w:val="24"/>
          <w:szCs w:val="24"/>
          <w:lang w:eastAsia="es-ES"/>
        </w:rPr>
        <w:t>esta</w:t>
      </w:r>
      <w:proofErr w:type="spellEnd"/>
      <w:r w:rsidRPr="006635F4">
        <w:rPr>
          <w:rFonts w:ascii="Arial" w:eastAsia="Calibri" w:hAnsi="Arial" w:cs="Arial"/>
          <w:sz w:val="24"/>
          <w:szCs w:val="24"/>
          <w:lang w:eastAsia="es-ES"/>
        </w:rPr>
        <w:t xml:space="preserve"> fuera de trascendencia tributaria o se requiriera para el desarrollo de sus actuaciones de inspección fiscal o para el intercambio internacional de información.</w:t>
      </w:r>
    </w:p>
    <w:p w14:paraId="798821C0" w14:textId="77777777" w:rsidR="006635F4" w:rsidRPr="006635F4" w:rsidRDefault="006635F4" w:rsidP="006635F4">
      <w:pPr>
        <w:spacing w:after="0" w:line="240" w:lineRule="auto"/>
        <w:jc w:val="both"/>
        <w:rPr>
          <w:rFonts w:ascii="Arial" w:eastAsia="Calibri" w:hAnsi="Arial" w:cs="Arial"/>
          <w:sz w:val="24"/>
          <w:szCs w:val="24"/>
          <w:lang w:eastAsia="es-ES"/>
        </w:rPr>
      </w:pPr>
    </w:p>
    <w:p w14:paraId="7683AA99" w14:textId="77777777" w:rsidR="006635F4" w:rsidRPr="006635F4" w:rsidRDefault="006635F4" w:rsidP="006635F4">
      <w:pPr>
        <w:spacing w:after="0" w:line="240" w:lineRule="auto"/>
        <w:jc w:val="both"/>
        <w:rPr>
          <w:rFonts w:ascii="Arial" w:eastAsia="Times New Roman" w:hAnsi="Arial" w:cs="Arial"/>
          <w:sz w:val="24"/>
          <w:szCs w:val="24"/>
          <w:lang w:eastAsia="es-ES"/>
        </w:rPr>
      </w:pPr>
      <w:r w:rsidRPr="006635F4">
        <w:rPr>
          <w:rFonts w:ascii="Arial" w:eastAsia="Calibri" w:hAnsi="Arial" w:cs="Arial"/>
          <w:sz w:val="24"/>
          <w:szCs w:val="24"/>
          <w:lang w:eastAsia="es-ES"/>
        </w:rPr>
        <w:t>Posteriormente, mediante</w:t>
      </w:r>
      <w:r w:rsidRPr="006635F4">
        <w:rPr>
          <w:rFonts w:ascii="Arial" w:eastAsia="Times New Roman" w:hAnsi="Arial" w:cs="Arial"/>
          <w:sz w:val="24"/>
          <w:szCs w:val="24"/>
          <w:lang w:eastAsia="es-ES"/>
        </w:rPr>
        <w:t xml:space="preserve"> </w:t>
      </w:r>
      <w:r w:rsidRPr="006635F4">
        <w:rPr>
          <w:rFonts w:ascii="Arial" w:eastAsia="Calibri" w:hAnsi="Arial" w:cs="Arial"/>
          <w:sz w:val="24"/>
          <w:szCs w:val="24"/>
          <w:lang w:eastAsia="es-ES"/>
        </w:rPr>
        <w:t>Ley</w:t>
      </w:r>
      <w:r w:rsidRPr="006635F4">
        <w:rPr>
          <w:rFonts w:ascii="Arial" w:eastAsia="Times New Roman" w:hAnsi="Arial" w:cs="Arial"/>
          <w:sz w:val="24"/>
          <w:szCs w:val="24"/>
          <w:lang w:eastAsia="es-ES"/>
        </w:rPr>
        <w:t xml:space="preserve"> 9296 </w:t>
      </w:r>
      <w:r w:rsidRPr="006635F4">
        <w:rPr>
          <w:rFonts w:ascii="Arial" w:eastAsia="Calibri" w:hAnsi="Arial" w:cs="Arial"/>
          <w:sz w:val="24"/>
          <w:szCs w:val="24"/>
          <w:lang w:eastAsia="es-ES"/>
        </w:rPr>
        <w:t>del</w:t>
      </w:r>
      <w:r w:rsidRPr="006635F4">
        <w:rPr>
          <w:rFonts w:ascii="Arial" w:eastAsia="Times New Roman" w:hAnsi="Arial" w:cs="Arial"/>
          <w:sz w:val="24"/>
          <w:szCs w:val="24"/>
          <w:lang w:eastAsia="es-ES"/>
        </w:rPr>
        <w:t xml:space="preserve"> 18 </w:t>
      </w:r>
      <w:r w:rsidRPr="006635F4">
        <w:rPr>
          <w:rFonts w:ascii="Arial" w:eastAsia="Calibri" w:hAnsi="Arial" w:cs="Arial"/>
          <w:sz w:val="24"/>
          <w:szCs w:val="24"/>
          <w:lang w:eastAsia="es-ES"/>
        </w:rPr>
        <w:t>de</w:t>
      </w:r>
      <w:r w:rsidRPr="006635F4">
        <w:rPr>
          <w:rFonts w:ascii="Arial" w:eastAsia="Times New Roman" w:hAnsi="Arial" w:cs="Arial"/>
          <w:sz w:val="24"/>
          <w:szCs w:val="24"/>
          <w:lang w:eastAsia="es-ES"/>
        </w:rPr>
        <w:t xml:space="preserve"> </w:t>
      </w:r>
      <w:r w:rsidRPr="006635F4">
        <w:rPr>
          <w:rFonts w:ascii="Arial" w:eastAsia="Calibri" w:hAnsi="Arial" w:cs="Arial"/>
          <w:sz w:val="24"/>
          <w:szCs w:val="24"/>
          <w:lang w:eastAsia="es-ES"/>
        </w:rPr>
        <w:t>mayo</w:t>
      </w:r>
      <w:r w:rsidRPr="006635F4">
        <w:rPr>
          <w:rFonts w:ascii="Arial" w:eastAsia="Times New Roman" w:hAnsi="Arial" w:cs="Arial"/>
          <w:sz w:val="24"/>
          <w:szCs w:val="24"/>
          <w:lang w:eastAsia="es-ES"/>
        </w:rPr>
        <w:t xml:space="preserve"> </w:t>
      </w:r>
      <w:r w:rsidRPr="006635F4">
        <w:rPr>
          <w:rFonts w:ascii="Arial" w:eastAsia="Calibri" w:hAnsi="Arial" w:cs="Arial"/>
          <w:sz w:val="24"/>
          <w:szCs w:val="24"/>
          <w:lang w:eastAsia="es-ES"/>
        </w:rPr>
        <w:t>de</w:t>
      </w:r>
      <w:r w:rsidRPr="006635F4">
        <w:rPr>
          <w:rFonts w:ascii="Arial" w:eastAsia="Times New Roman" w:hAnsi="Arial" w:cs="Arial"/>
          <w:sz w:val="24"/>
          <w:szCs w:val="24"/>
          <w:lang w:eastAsia="es-ES"/>
        </w:rPr>
        <w:t xml:space="preserve"> 2015 </w:t>
      </w:r>
      <w:r w:rsidRPr="006635F4">
        <w:rPr>
          <w:rFonts w:ascii="Arial" w:eastAsia="Calibri" w:hAnsi="Arial" w:cs="Arial"/>
          <w:sz w:val="24"/>
          <w:szCs w:val="24"/>
          <w:lang w:eastAsia="es-ES"/>
        </w:rPr>
        <w:t>se</w:t>
      </w:r>
      <w:r w:rsidRPr="006635F4">
        <w:rPr>
          <w:rFonts w:ascii="Arial" w:eastAsia="Times New Roman" w:hAnsi="Arial" w:cs="Arial"/>
          <w:sz w:val="24"/>
          <w:szCs w:val="24"/>
          <w:lang w:eastAsia="es-ES"/>
        </w:rPr>
        <w:t xml:space="preserve"> </w:t>
      </w:r>
      <w:r w:rsidRPr="006635F4">
        <w:rPr>
          <w:rFonts w:ascii="Arial" w:eastAsia="Calibri" w:hAnsi="Arial" w:cs="Arial"/>
          <w:sz w:val="24"/>
          <w:szCs w:val="24"/>
          <w:lang w:eastAsia="es-ES"/>
        </w:rPr>
        <w:t>incorporó</w:t>
      </w:r>
      <w:r w:rsidRPr="006635F4">
        <w:rPr>
          <w:rFonts w:ascii="Arial" w:eastAsia="Times New Roman" w:hAnsi="Arial" w:cs="Arial"/>
          <w:sz w:val="24"/>
          <w:szCs w:val="24"/>
          <w:lang w:eastAsia="es-ES"/>
        </w:rPr>
        <w:t xml:space="preserve"> </w:t>
      </w:r>
      <w:r w:rsidRPr="006635F4">
        <w:rPr>
          <w:rFonts w:ascii="Arial" w:eastAsia="Calibri" w:hAnsi="Arial" w:cs="Arial"/>
          <w:sz w:val="24"/>
          <w:szCs w:val="24"/>
          <w:lang w:eastAsia="es-ES"/>
        </w:rPr>
        <w:t>el</w:t>
      </w:r>
      <w:r w:rsidRPr="006635F4">
        <w:rPr>
          <w:rFonts w:ascii="Arial" w:eastAsia="Times New Roman" w:hAnsi="Arial" w:cs="Arial"/>
          <w:sz w:val="24"/>
          <w:szCs w:val="24"/>
          <w:lang w:eastAsia="es-ES"/>
        </w:rPr>
        <w:t xml:space="preserve"> </w:t>
      </w:r>
      <w:r w:rsidRPr="006635F4">
        <w:rPr>
          <w:rFonts w:ascii="Arial" w:eastAsia="Calibri" w:hAnsi="Arial" w:cs="Arial"/>
          <w:sz w:val="24"/>
          <w:szCs w:val="24"/>
          <w:lang w:eastAsia="es-ES"/>
        </w:rPr>
        <w:t>artículo</w:t>
      </w:r>
      <w:r w:rsidRPr="006635F4">
        <w:rPr>
          <w:rFonts w:ascii="Arial" w:eastAsia="Times New Roman" w:hAnsi="Arial" w:cs="Arial"/>
          <w:sz w:val="24"/>
          <w:szCs w:val="24"/>
          <w:lang w:eastAsia="es-ES"/>
        </w:rPr>
        <w:t xml:space="preserve"> 106 </w:t>
      </w:r>
      <w:proofErr w:type="spellStart"/>
      <w:r w:rsidRPr="006635F4">
        <w:rPr>
          <w:rFonts w:ascii="Arial" w:eastAsia="Calibri" w:hAnsi="Arial" w:cs="Arial"/>
          <w:sz w:val="24"/>
          <w:szCs w:val="24"/>
          <w:lang w:eastAsia="es-ES"/>
        </w:rPr>
        <w:t>quáter</w:t>
      </w:r>
      <w:proofErr w:type="spellEnd"/>
      <w:r w:rsidRPr="006635F4">
        <w:rPr>
          <w:rFonts w:ascii="Arial" w:eastAsia="Times New Roman" w:hAnsi="Arial" w:cs="Arial"/>
          <w:sz w:val="24"/>
          <w:szCs w:val="24"/>
          <w:lang w:eastAsia="es-ES"/>
        </w:rPr>
        <w:t xml:space="preserve"> </w:t>
      </w:r>
      <w:r w:rsidRPr="006635F4">
        <w:rPr>
          <w:rFonts w:ascii="Arial" w:eastAsia="Calibri" w:hAnsi="Arial" w:cs="Arial"/>
          <w:sz w:val="24"/>
          <w:szCs w:val="24"/>
          <w:lang w:eastAsia="es-ES"/>
        </w:rPr>
        <w:t>al</w:t>
      </w:r>
      <w:r w:rsidRPr="006635F4">
        <w:rPr>
          <w:rFonts w:ascii="Arial" w:eastAsia="Times New Roman" w:hAnsi="Arial" w:cs="Arial"/>
          <w:sz w:val="24"/>
          <w:szCs w:val="24"/>
          <w:lang w:eastAsia="es-ES"/>
        </w:rPr>
        <w:t xml:space="preserve"> </w:t>
      </w:r>
      <w:r w:rsidRPr="006635F4">
        <w:rPr>
          <w:rFonts w:ascii="Arial" w:eastAsia="Calibri" w:hAnsi="Arial" w:cs="Arial"/>
          <w:sz w:val="24"/>
          <w:szCs w:val="24"/>
          <w:lang w:eastAsia="es-ES"/>
        </w:rPr>
        <w:t>Código</w:t>
      </w:r>
      <w:r w:rsidRPr="006635F4">
        <w:rPr>
          <w:rFonts w:ascii="Arial" w:eastAsia="Times New Roman" w:hAnsi="Arial" w:cs="Arial"/>
          <w:sz w:val="24"/>
          <w:szCs w:val="24"/>
          <w:lang w:eastAsia="es-ES"/>
        </w:rPr>
        <w:t xml:space="preserve"> </w:t>
      </w:r>
      <w:r w:rsidRPr="006635F4">
        <w:rPr>
          <w:rFonts w:ascii="Arial" w:eastAsia="Calibri" w:hAnsi="Arial" w:cs="Arial"/>
          <w:sz w:val="24"/>
          <w:szCs w:val="24"/>
          <w:lang w:eastAsia="es-ES"/>
        </w:rPr>
        <w:t>de</w:t>
      </w:r>
      <w:r w:rsidRPr="006635F4">
        <w:rPr>
          <w:rFonts w:ascii="Arial" w:eastAsia="Times New Roman" w:hAnsi="Arial" w:cs="Arial"/>
          <w:sz w:val="24"/>
          <w:szCs w:val="24"/>
          <w:lang w:eastAsia="es-ES"/>
        </w:rPr>
        <w:t xml:space="preserve"> </w:t>
      </w:r>
      <w:r w:rsidRPr="006635F4">
        <w:rPr>
          <w:rFonts w:ascii="Arial" w:eastAsia="Calibri" w:hAnsi="Arial" w:cs="Arial"/>
          <w:sz w:val="24"/>
          <w:szCs w:val="24"/>
          <w:lang w:eastAsia="es-ES"/>
        </w:rPr>
        <w:t>Normas</w:t>
      </w:r>
      <w:r w:rsidRPr="006635F4">
        <w:rPr>
          <w:rFonts w:ascii="Arial" w:eastAsia="Times New Roman" w:hAnsi="Arial" w:cs="Arial"/>
          <w:sz w:val="24"/>
          <w:szCs w:val="24"/>
          <w:lang w:eastAsia="es-ES"/>
        </w:rPr>
        <w:t xml:space="preserve"> </w:t>
      </w:r>
      <w:r w:rsidRPr="006635F4">
        <w:rPr>
          <w:rFonts w:ascii="Arial" w:eastAsia="Calibri" w:hAnsi="Arial" w:cs="Arial"/>
          <w:sz w:val="24"/>
          <w:szCs w:val="24"/>
          <w:lang w:eastAsia="es-ES"/>
        </w:rPr>
        <w:t>y</w:t>
      </w:r>
      <w:r w:rsidRPr="006635F4">
        <w:rPr>
          <w:rFonts w:ascii="Arial" w:eastAsia="Times New Roman" w:hAnsi="Arial" w:cs="Arial"/>
          <w:sz w:val="24"/>
          <w:szCs w:val="24"/>
          <w:lang w:eastAsia="es-ES"/>
        </w:rPr>
        <w:t xml:space="preserve"> </w:t>
      </w:r>
      <w:r w:rsidRPr="006635F4">
        <w:rPr>
          <w:rFonts w:ascii="Arial" w:eastAsia="Calibri" w:hAnsi="Arial" w:cs="Arial"/>
          <w:sz w:val="24"/>
          <w:szCs w:val="24"/>
          <w:lang w:eastAsia="es-ES"/>
        </w:rPr>
        <w:t>Procedimientos</w:t>
      </w:r>
      <w:r w:rsidRPr="006635F4">
        <w:rPr>
          <w:rFonts w:ascii="Arial" w:eastAsia="Times New Roman" w:hAnsi="Arial" w:cs="Arial"/>
          <w:sz w:val="24"/>
          <w:szCs w:val="24"/>
          <w:lang w:eastAsia="es-ES"/>
        </w:rPr>
        <w:t xml:space="preserve"> </w:t>
      </w:r>
      <w:r w:rsidRPr="006635F4">
        <w:rPr>
          <w:rFonts w:ascii="Arial" w:eastAsia="Calibri" w:hAnsi="Arial" w:cs="Arial"/>
          <w:sz w:val="24"/>
          <w:szCs w:val="24"/>
          <w:lang w:eastAsia="es-ES"/>
        </w:rPr>
        <w:t>Tributarios</w:t>
      </w:r>
      <w:r w:rsidRPr="006635F4">
        <w:rPr>
          <w:rFonts w:ascii="Arial" w:eastAsia="Times New Roman" w:hAnsi="Arial" w:cs="Arial"/>
          <w:sz w:val="24"/>
          <w:szCs w:val="24"/>
          <w:lang w:eastAsia="es-ES"/>
        </w:rPr>
        <w:t xml:space="preserve">, </w:t>
      </w:r>
      <w:r w:rsidRPr="006635F4">
        <w:rPr>
          <w:rFonts w:ascii="Arial" w:eastAsia="Calibri" w:hAnsi="Arial" w:cs="Arial"/>
          <w:sz w:val="24"/>
          <w:szCs w:val="24"/>
          <w:lang w:eastAsia="es-ES"/>
        </w:rPr>
        <w:t>Ley</w:t>
      </w:r>
      <w:r w:rsidRPr="006635F4">
        <w:rPr>
          <w:rFonts w:ascii="Arial" w:eastAsia="Times New Roman" w:hAnsi="Arial" w:cs="Arial"/>
          <w:sz w:val="24"/>
          <w:szCs w:val="24"/>
          <w:lang w:eastAsia="es-ES"/>
        </w:rPr>
        <w:t xml:space="preserve"> 4755 </w:t>
      </w:r>
      <w:r w:rsidRPr="006635F4">
        <w:rPr>
          <w:rFonts w:ascii="Arial" w:eastAsia="Calibri" w:hAnsi="Arial" w:cs="Arial"/>
          <w:sz w:val="24"/>
          <w:szCs w:val="24"/>
          <w:lang w:eastAsia="es-ES"/>
        </w:rPr>
        <w:t>del</w:t>
      </w:r>
      <w:r w:rsidRPr="006635F4">
        <w:rPr>
          <w:rFonts w:ascii="Arial" w:eastAsia="Times New Roman" w:hAnsi="Arial" w:cs="Arial"/>
          <w:sz w:val="24"/>
          <w:szCs w:val="24"/>
          <w:lang w:eastAsia="es-ES"/>
        </w:rPr>
        <w:t xml:space="preserve"> 3 </w:t>
      </w:r>
      <w:r w:rsidRPr="006635F4">
        <w:rPr>
          <w:rFonts w:ascii="Arial" w:eastAsia="Calibri" w:hAnsi="Arial" w:cs="Arial"/>
          <w:sz w:val="24"/>
          <w:szCs w:val="24"/>
          <w:lang w:eastAsia="es-ES"/>
        </w:rPr>
        <w:t>de</w:t>
      </w:r>
      <w:r w:rsidRPr="006635F4">
        <w:rPr>
          <w:rFonts w:ascii="Arial" w:eastAsia="Times New Roman" w:hAnsi="Arial" w:cs="Arial"/>
          <w:sz w:val="24"/>
          <w:szCs w:val="24"/>
          <w:lang w:eastAsia="es-ES"/>
        </w:rPr>
        <w:t xml:space="preserve"> </w:t>
      </w:r>
      <w:r w:rsidRPr="006635F4">
        <w:rPr>
          <w:rFonts w:ascii="Arial" w:eastAsia="Calibri" w:hAnsi="Arial" w:cs="Arial"/>
          <w:sz w:val="24"/>
          <w:szCs w:val="24"/>
          <w:lang w:eastAsia="es-ES"/>
        </w:rPr>
        <w:t>mayo</w:t>
      </w:r>
      <w:r w:rsidRPr="006635F4">
        <w:rPr>
          <w:rFonts w:ascii="Arial" w:eastAsia="Times New Roman" w:hAnsi="Arial" w:cs="Arial"/>
          <w:sz w:val="24"/>
          <w:szCs w:val="24"/>
          <w:lang w:eastAsia="es-ES"/>
        </w:rPr>
        <w:t xml:space="preserve"> </w:t>
      </w:r>
      <w:r w:rsidRPr="006635F4">
        <w:rPr>
          <w:rFonts w:ascii="Arial" w:eastAsia="Calibri" w:hAnsi="Arial" w:cs="Arial"/>
          <w:sz w:val="24"/>
          <w:szCs w:val="24"/>
          <w:lang w:eastAsia="es-ES"/>
        </w:rPr>
        <w:t>de</w:t>
      </w:r>
      <w:r w:rsidRPr="006635F4">
        <w:rPr>
          <w:rFonts w:ascii="Arial" w:eastAsia="Times New Roman" w:hAnsi="Arial" w:cs="Arial"/>
          <w:sz w:val="24"/>
          <w:szCs w:val="24"/>
          <w:lang w:eastAsia="es-ES"/>
        </w:rPr>
        <w:t xml:space="preserve"> 1971 y se modificó el artículo precitado 106 ter, </w:t>
      </w:r>
      <w:r w:rsidRPr="006635F4">
        <w:rPr>
          <w:rFonts w:ascii="Arial" w:eastAsia="Calibri" w:hAnsi="Arial" w:cs="Arial"/>
          <w:sz w:val="24"/>
          <w:szCs w:val="24"/>
          <w:lang w:eastAsia="es-ES"/>
        </w:rPr>
        <w:t>con</w:t>
      </w:r>
      <w:r w:rsidRPr="006635F4">
        <w:rPr>
          <w:rFonts w:ascii="Arial" w:eastAsia="Times New Roman" w:hAnsi="Arial" w:cs="Arial"/>
          <w:sz w:val="24"/>
          <w:szCs w:val="24"/>
          <w:lang w:eastAsia="es-ES"/>
        </w:rPr>
        <w:t xml:space="preserve"> </w:t>
      </w:r>
      <w:r w:rsidRPr="006635F4">
        <w:rPr>
          <w:rFonts w:ascii="Arial" w:eastAsia="Calibri" w:hAnsi="Arial" w:cs="Arial"/>
          <w:sz w:val="24"/>
          <w:szCs w:val="24"/>
          <w:lang w:eastAsia="es-ES"/>
        </w:rPr>
        <w:t>lo</w:t>
      </w:r>
      <w:r w:rsidRPr="006635F4">
        <w:rPr>
          <w:rFonts w:ascii="Arial" w:eastAsia="Times New Roman" w:hAnsi="Arial" w:cs="Arial"/>
          <w:sz w:val="24"/>
          <w:szCs w:val="24"/>
          <w:lang w:eastAsia="es-ES"/>
        </w:rPr>
        <w:t xml:space="preserve"> </w:t>
      </w:r>
      <w:r w:rsidRPr="006635F4">
        <w:rPr>
          <w:rFonts w:ascii="Arial" w:eastAsia="Calibri" w:hAnsi="Arial" w:cs="Arial"/>
          <w:sz w:val="24"/>
          <w:szCs w:val="24"/>
          <w:lang w:eastAsia="es-ES"/>
        </w:rPr>
        <w:t>cual</w:t>
      </w:r>
      <w:r w:rsidRPr="006635F4">
        <w:rPr>
          <w:rFonts w:ascii="Arial" w:eastAsia="Times New Roman" w:hAnsi="Arial" w:cs="Arial"/>
          <w:sz w:val="24"/>
          <w:szCs w:val="24"/>
          <w:lang w:eastAsia="es-ES"/>
        </w:rPr>
        <w:t xml:space="preserve"> Costa Rica dio un paso importante en aras del cumplimiento de los estándares internacionales de transparencia fiscal. </w:t>
      </w:r>
      <w:r w:rsidR="00661346">
        <w:rPr>
          <w:rFonts w:ascii="Arial" w:eastAsia="Times New Roman" w:hAnsi="Arial" w:cs="Arial"/>
          <w:sz w:val="24"/>
          <w:szCs w:val="24"/>
          <w:lang w:eastAsia="es-ES"/>
        </w:rPr>
        <w:t xml:space="preserve"> </w:t>
      </w:r>
      <w:r w:rsidRPr="006635F4">
        <w:rPr>
          <w:rFonts w:ascii="Arial" w:eastAsia="Times New Roman" w:hAnsi="Arial" w:cs="Arial"/>
          <w:sz w:val="24"/>
          <w:szCs w:val="24"/>
          <w:lang w:eastAsia="es-ES"/>
        </w:rPr>
        <w:t>A través de tal disposición, se establecieron las condiciones y el procedimiento bajo el cual la Administración Tributaria, en virtud de la existencia de un convenio internacional, se encuentra facultada para requerir información financiera para el intercambio de información con otras jurisdicciones.</w:t>
      </w:r>
    </w:p>
    <w:p w14:paraId="3434A67F" w14:textId="77777777" w:rsidR="006635F4" w:rsidRPr="006635F4" w:rsidRDefault="006635F4" w:rsidP="006635F4">
      <w:pPr>
        <w:spacing w:after="0" w:line="240" w:lineRule="auto"/>
        <w:jc w:val="both"/>
        <w:rPr>
          <w:rFonts w:ascii="Arial" w:eastAsia="Times New Roman" w:hAnsi="Arial" w:cs="Arial"/>
          <w:sz w:val="24"/>
          <w:szCs w:val="24"/>
          <w:lang w:eastAsia="es-ES"/>
        </w:rPr>
      </w:pPr>
    </w:p>
    <w:p w14:paraId="62E413CD" w14:textId="77777777" w:rsidR="006635F4" w:rsidRPr="006635F4" w:rsidRDefault="006635F4" w:rsidP="006635F4">
      <w:pPr>
        <w:spacing w:after="0" w:line="240" w:lineRule="auto"/>
        <w:jc w:val="both"/>
        <w:rPr>
          <w:rFonts w:ascii="Arial" w:eastAsia="Times New Roman" w:hAnsi="Arial" w:cs="Arial"/>
          <w:sz w:val="24"/>
          <w:szCs w:val="24"/>
          <w:lang w:eastAsia="es-ES"/>
        </w:rPr>
      </w:pPr>
      <w:r w:rsidRPr="006635F4">
        <w:rPr>
          <w:rFonts w:ascii="Arial" w:eastAsia="Times New Roman" w:hAnsi="Arial" w:cs="Arial"/>
          <w:sz w:val="24"/>
          <w:szCs w:val="24"/>
          <w:lang w:eastAsia="es-ES"/>
        </w:rPr>
        <w:t xml:space="preserve">Con base en dicho cambio, se eliminó la necesidad de que la Administración Tributaria gestionara una autorización judicial en aquellos casos en que requiriera información en poder de entidades financieras para cumplir con un requerimiento de información recibido a la luz de un convenio internacional que contemplara el intercambio de información. </w:t>
      </w:r>
      <w:r w:rsidR="00661346">
        <w:rPr>
          <w:rFonts w:ascii="Arial" w:eastAsia="Times New Roman" w:hAnsi="Arial" w:cs="Arial"/>
          <w:sz w:val="24"/>
          <w:szCs w:val="24"/>
          <w:lang w:eastAsia="es-ES"/>
        </w:rPr>
        <w:t xml:space="preserve"> </w:t>
      </w:r>
      <w:r w:rsidRPr="006635F4">
        <w:rPr>
          <w:rFonts w:ascii="Arial" w:eastAsia="Times New Roman" w:hAnsi="Arial" w:cs="Arial"/>
          <w:sz w:val="24"/>
          <w:szCs w:val="24"/>
          <w:lang w:eastAsia="es-ES"/>
        </w:rPr>
        <w:t>En su lugar, se facultó a las autoridades tributarias para solicitar la información directamente a las entidades financieras, otorgándosele a estas un plazo de diez días hábiles para brindar la información solicitada.</w:t>
      </w:r>
    </w:p>
    <w:p w14:paraId="62D88C1E" w14:textId="77777777" w:rsidR="006635F4" w:rsidRPr="006635F4" w:rsidRDefault="006635F4" w:rsidP="006635F4">
      <w:pPr>
        <w:spacing w:after="0" w:line="240" w:lineRule="auto"/>
        <w:jc w:val="both"/>
        <w:rPr>
          <w:rFonts w:ascii="Arial" w:eastAsia="Times New Roman" w:hAnsi="Arial" w:cs="Arial"/>
          <w:sz w:val="24"/>
          <w:szCs w:val="24"/>
          <w:lang w:eastAsia="es-ES"/>
        </w:rPr>
      </w:pPr>
    </w:p>
    <w:p w14:paraId="28844346" w14:textId="77777777" w:rsidR="006635F4" w:rsidRPr="006635F4" w:rsidRDefault="006635F4" w:rsidP="006635F4">
      <w:pPr>
        <w:spacing w:after="0" w:line="240" w:lineRule="auto"/>
        <w:jc w:val="both"/>
        <w:rPr>
          <w:rFonts w:ascii="Arial" w:eastAsia="Times New Roman" w:hAnsi="Arial" w:cs="Arial"/>
          <w:sz w:val="24"/>
          <w:szCs w:val="24"/>
          <w:lang w:eastAsia="es-ES"/>
        </w:rPr>
      </w:pPr>
      <w:r w:rsidRPr="006635F4">
        <w:rPr>
          <w:rFonts w:ascii="Arial" w:eastAsia="Times New Roman" w:hAnsi="Arial" w:cs="Arial"/>
          <w:sz w:val="24"/>
          <w:szCs w:val="24"/>
          <w:lang w:eastAsia="es-ES"/>
        </w:rPr>
        <w:t>Consecuentemente, el procedimiento contenido en el actual 106 ter del Código de Normas y Procedimientos Tributarios quedó reservado solamente para procedimientos de fiscalización a cargo de la Administración Tributaria costarricense, en cuyo caso las autoridades tributarias se encuentran imposibilitada para acceder de manera eficiente a información financiera que resulte previsiblemente pertinente para efectos tributarios.</w:t>
      </w:r>
    </w:p>
    <w:p w14:paraId="7515AF3D" w14:textId="77777777" w:rsidR="006635F4" w:rsidRPr="006635F4" w:rsidRDefault="006635F4" w:rsidP="006635F4">
      <w:pPr>
        <w:spacing w:after="0" w:line="240" w:lineRule="auto"/>
        <w:jc w:val="both"/>
        <w:rPr>
          <w:rFonts w:ascii="Arial" w:eastAsia="Times New Roman" w:hAnsi="Arial" w:cs="Arial"/>
          <w:sz w:val="24"/>
          <w:szCs w:val="24"/>
          <w:lang w:eastAsia="es-ES"/>
        </w:rPr>
      </w:pPr>
    </w:p>
    <w:p w14:paraId="5BF0BD0E" w14:textId="77777777" w:rsidR="006635F4" w:rsidRPr="006635F4" w:rsidRDefault="006635F4" w:rsidP="006635F4">
      <w:pPr>
        <w:spacing w:after="0" w:line="240" w:lineRule="auto"/>
        <w:jc w:val="both"/>
        <w:rPr>
          <w:rFonts w:ascii="Arial" w:eastAsia="Times New Roman" w:hAnsi="Arial" w:cs="Arial"/>
          <w:sz w:val="24"/>
          <w:szCs w:val="24"/>
          <w:lang w:eastAsia="es-ES"/>
        </w:rPr>
      </w:pPr>
      <w:r w:rsidRPr="006635F4">
        <w:rPr>
          <w:rFonts w:ascii="Arial" w:eastAsia="Times New Roman" w:hAnsi="Arial" w:cs="Arial"/>
          <w:sz w:val="24"/>
          <w:szCs w:val="24"/>
          <w:lang w:eastAsia="es-ES"/>
        </w:rPr>
        <w:t>El mantenimiento de este procedimiento especial para fines domésticos genera una distinción injustificada en el tratamiento de la información financiera, la cual no pareciera ir en línea con las tendencias internacionales en materia de disponibilidad y acceso a aquella información financiera, considerada como previsiblemente perti</w:t>
      </w:r>
      <w:r w:rsidR="007914EA">
        <w:rPr>
          <w:rFonts w:ascii="Arial" w:eastAsia="Times New Roman" w:hAnsi="Arial" w:cs="Arial"/>
          <w:sz w:val="24"/>
          <w:szCs w:val="24"/>
          <w:lang w:eastAsia="es-ES"/>
        </w:rPr>
        <w:t>nente para efectos tributarios.</w:t>
      </w:r>
    </w:p>
    <w:p w14:paraId="3D91B2B4" w14:textId="77777777" w:rsidR="006635F4" w:rsidRPr="006635F4" w:rsidRDefault="006635F4" w:rsidP="006635F4">
      <w:pPr>
        <w:spacing w:after="0" w:line="240" w:lineRule="auto"/>
        <w:jc w:val="both"/>
        <w:rPr>
          <w:rFonts w:ascii="Arial" w:eastAsia="Times New Roman" w:hAnsi="Arial" w:cs="Arial"/>
          <w:sz w:val="24"/>
          <w:szCs w:val="24"/>
          <w:lang w:eastAsia="es-ES"/>
        </w:rPr>
      </w:pPr>
    </w:p>
    <w:p w14:paraId="19817D75" w14:textId="77777777" w:rsidR="006635F4" w:rsidRPr="006635F4" w:rsidRDefault="006635F4" w:rsidP="006635F4">
      <w:pPr>
        <w:spacing w:after="0" w:line="240" w:lineRule="auto"/>
        <w:jc w:val="both"/>
        <w:rPr>
          <w:rFonts w:ascii="Arial" w:eastAsia="Times New Roman" w:hAnsi="Arial" w:cs="Arial"/>
          <w:sz w:val="24"/>
          <w:szCs w:val="24"/>
          <w:lang w:eastAsia="es-ES"/>
        </w:rPr>
      </w:pPr>
      <w:r w:rsidRPr="006635F4">
        <w:rPr>
          <w:rFonts w:ascii="Arial" w:eastAsia="Times New Roman" w:hAnsi="Arial" w:cs="Arial"/>
          <w:sz w:val="24"/>
          <w:szCs w:val="24"/>
          <w:lang w:eastAsia="es-ES"/>
        </w:rPr>
        <w:t xml:space="preserve">Por ende, deviene procedente actualizar los artículos 106 bis y 106 ter del </w:t>
      </w:r>
      <w:r w:rsidR="007914EA" w:rsidRPr="006635F4">
        <w:rPr>
          <w:rFonts w:ascii="Arial" w:eastAsia="Times New Roman" w:hAnsi="Arial" w:cs="Arial"/>
          <w:sz w:val="24"/>
          <w:szCs w:val="24"/>
          <w:lang w:eastAsia="es-ES"/>
        </w:rPr>
        <w:t>Código</w:t>
      </w:r>
      <w:r w:rsidRPr="006635F4">
        <w:rPr>
          <w:rFonts w:ascii="Arial" w:eastAsia="Times New Roman" w:hAnsi="Arial" w:cs="Arial"/>
          <w:sz w:val="24"/>
          <w:szCs w:val="24"/>
          <w:lang w:eastAsia="es-ES"/>
        </w:rPr>
        <w:t xml:space="preserve"> de Normas y Procedimientos Tributarios, de forma tal que se permita a la Administración Tributaria costarricense acceder a aquella información en poder de entidades que requiera para que sus actuaciones de control tributario sean más eficientes.</w:t>
      </w:r>
      <w:r w:rsidR="007914EA">
        <w:rPr>
          <w:rFonts w:ascii="Arial" w:eastAsia="Times New Roman" w:hAnsi="Arial" w:cs="Arial"/>
          <w:sz w:val="24"/>
          <w:szCs w:val="24"/>
          <w:lang w:eastAsia="es-ES"/>
        </w:rPr>
        <w:t xml:space="preserve"> </w:t>
      </w:r>
      <w:r w:rsidRPr="006635F4">
        <w:rPr>
          <w:rFonts w:ascii="Arial" w:eastAsia="Times New Roman" w:hAnsi="Arial" w:cs="Arial"/>
          <w:sz w:val="24"/>
          <w:szCs w:val="24"/>
          <w:lang w:eastAsia="es-ES"/>
        </w:rPr>
        <w:t xml:space="preserve"> Con esta reforma se fortalecen los mecanismos con que cuenta el país para luchar contra el fraude fiscal y contra la evasión y elusión fiscal y para mejorar la efectividad de sus actuaciones, tutelándose al mismo tiempo los derechos y garantías de los contribuyentes.</w:t>
      </w:r>
    </w:p>
    <w:p w14:paraId="17B6B1B8" w14:textId="77777777" w:rsidR="006635F4" w:rsidRPr="006635F4" w:rsidRDefault="006635F4" w:rsidP="006635F4">
      <w:pPr>
        <w:spacing w:after="0" w:line="240" w:lineRule="auto"/>
        <w:rPr>
          <w:rFonts w:ascii="Arial" w:eastAsia="Times New Roman" w:hAnsi="Arial" w:cs="Arial"/>
          <w:sz w:val="24"/>
          <w:szCs w:val="24"/>
          <w:lang w:eastAsia="es-ES"/>
        </w:rPr>
      </w:pPr>
    </w:p>
    <w:p w14:paraId="56CCACDE" w14:textId="77777777" w:rsidR="006635F4" w:rsidRDefault="006635F4" w:rsidP="006635F4">
      <w:pPr>
        <w:spacing w:after="0" w:line="240" w:lineRule="auto"/>
        <w:jc w:val="both"/>
        <w:rPr>
          <w:rFonts w:ascii="Arial" w:eastAsia="Calibri" w:hAnsi="Arial" w:cs="Arial"/>
          <w:sz w:val="24"/>
          <w:szCs w:val="24"/>
          <w:lang w:val="es-ES"/>
        </w:rPr>
      </w:pPr>
      <w:r w:rsidRPr="006635F4">
        <w:rPr>
          <w:rFonts w:ascii="Arial" w:eastAsia="Times New Roman" w:hAnsi="Arial" w:cs="Arial"/>
          <w:sz w:val="24"/>
          <w:szCs w:val="24"/>
          <w:lang w:val="es-ES"/>
        </w:rPr>
        <w:lastRenderedPageBreak/>
        <w:t xml:space="preserve">En virtud de lo anteriormente expuesto, se somete a conocimiento de los señores diputados y las señoras diputadas, el presente proyecto de ley para modificar los artículos 106 bis y 106 ter del Código de Normas y Procedimientos Tributarios, Ley Nº 4755 del 3 de mayo de 1971 y sus reformas, y se solicita </w:t>
      </w:r>
      <w:r w:rsidRPr="006635F4">
        <w:rPr>
          <w:rFonts w:ascii="Arial" w:eastAsia="Calibri" w:hAnsi="Arial" w:cs="Arial"/>
          <w:sz w:val="24"/>
          <w:szCs w:val="24"/>
          <w:lang w:val="es-ES"/>
        </w:rPr>
        <w:t>respetuosamente su aprobación y apoyo a la presente iniciativa.</w:t>
      </w:r>
    </w:p>
    <w:p w14:paraId="0510B65D" w14:textId="77777777" w:rsidR="007914EA" w:rsidRPr="006635F4" w:rsidRDefault="007914EA" w:rsidP="006635F4">
      <w:pPr>
        <w:spacing w:after="0" w:line="240" w:lineRule="auto"/>
        <w:jc w:val="both"/>
        <w:rPr>
          <w:rFonts w:ascii="Arial" w:eastAsia="Calibri" w:hAnsi="Arial" w:cs="Arial"/>
          <w:sz w:val="24"/>
          <w:szCs w:val="24"/>
          <w:lang w:val="es-ES"/>
        </w:rPr>
      </w:pPr>
    </w:p>
    <w:p w14:paraId="6D30CEF8" w14:textId="77777777" w:rsidR="007914EA" w:rsidRDefault="007914EA" w:rsidP="006635F4">
      <w:pPr>
        <w:spacing w:after="0" w:line="240" w:lineRule="auto"/>
        <w:jc w:val="center"/>
        <w:rPr>
          <w:rFonts w:ascii="Arial" w:eastAsia="Times New Roman" w:hAnsi="Arial" w:cs="Arial"/>
          <w:b/>
          <w:sz w:val="24"/>
          <w:szCs w:val="24"/>
          <w:lang w:val="es-ES" w:eastAsia="es-ES"/>
        </w:rPr>
      </w:pPr>
    </w:p>
    <w:p w14:paraId="04810159" w14:textId="77777777" w:rsidR="007914EA" w:rsidRDefault="007914EA" w:rsidP="006635F4">
      <w:pPr>
        <w:spacing w:after="0" w:line="240" w:lineRule="auto"/>
        <w:jc w:val="center"/>
        <w:rPr>
          <w:rFonts w:ascii="Arial" w:eastAsia="Times New Roman" w:hAnsi="Arial" w:cs="Arial"/>
          <w:b/>
          <w:sz w:val="24"/>
          <w:szCs w:val="24"/>
          <w:lang w:val="es-ES" w:eastAsia="es-ES"/>
        </w:rPr>
      </w:pPr>
    </w:p>
    <w:p w14:paraId="641D738B" w14:textId="77777777" w:rsidR="007914EA" w:rsidRDefault="007914EA" w:rsidP="006635F4">
      <w:pPr>
        <w:spacing w:after="0" w:line="240" w:lineRule="auto"/>
        <w:jc w:val="center"/>
        <w:rPr>
          <w:rFonts w:ascii="Arial" w:eastAsia="Times New Roman" w:hAnsi="Arial" w:cs="Arial"/>
          <w:b/>
          <w:sz w:val="24"/>
          <w:szCs w:val="24"/>
          <w:lang w:val="es-ES" w:eastAsia="es-ES"/>
        </w:rPr>
      </w:pPr>
    </w:p>
    <w:p w14:paraId="58E68EE2" w14:textId="77777777" w:rsidR="007914EA" w:rsidRDefault="007914EA" w:rsidP="006635F4">
      <w:pPr>
        <w:spacing w:after="0" w:line="240" w:lineRule="auto"/>
        <w:jc w:val="center"/>
        <w:rPr>
          <w:rFonts w:ascii="Arial" w:eastAsia="Times New Roman" w:hAnsi="Arial" w:cs="Arial"/>
          <w:b/>
          <w:sz w:val="24"/>
          <w:szCs w:val="24"/>
          <w:lang w:val="es-ES" w:eastAsia="es-ES"/>
        </w:rPr>
      </w:pPr>
    </w:p>
    <w:p w14:paraId="200469D1" w14:textId="77777777" w:rsidR="007914EA" w:rsidRDefault="007914EA" w:rsidP="006635F4">
      <w:pPr>
        <w:spacing w:after="0" w:line="240" w:lineRule="auto"/>
        <w:jc w:val="center"/>
        <w:rPr>
          <w:rFonts w:ascii="Arial" w:eastAsia="Times New Roman" w:hAnsi="Arial" w:cs="Arial"/>
          <w:b/>
          <w:sz w:val="24"/>
          <w:szCs w:val="24"/>
          <w:lang w:val="es-ES" w:eastAsia="es-ES"/>
        </w:rPr>
      </w:pPr>
    </w:p>
    <w:p w14:paraId="645C381D" w14:textId="77777777" w:rsidR="007914EA" w:rsidRDefault="007914EA" w:rsidP="006635F4">
      <w:pPr>
        <w:spacing w:after="0" w:line="240" w:lineRule="auto"/>
        <w:jc w:val="center"/>
        <w:rPr>
          <w:rFonts w:ascii="Arial" w:eastAsia="Times New Roman" w:hAnsi="Arial" w:cs="Arial"/>
          <w:b/>
          <w:sz w:val="24"/>
          <w:szCs w:val="24"/>
          <w:lang w:val="es-ES" w:eastAsia="es-ES"/>
        </w:rPr>
      </w:pPr>
    </w:p>
    <w:p w14:paraId="40E18B6C" w14:textId="77777777" w:rsidR="007914EA" w:rsidRDefault="007914EA" w:rsidP="006635F4">
      <w:pPr>
        <w:spacing w:after="0" w:line="240" w:lineRule="auto"/>
        <w:jc w:val="center"/>
        <w:rPr>
          <w:rFonts w:ascii="Arial" w:eastAsia="Times New Roman" w:hAnsi="Arial" w:cs="Arial"/>
          <w:b/>
          <w:sz w:val="24"/>
          <w:szCs w:val="24"/>
          <w:lang w:val="es-ES" w:eastAsia="es-ES"/>
        </w:rPr>
      </w:pPr>
    </w:p>
    <w:p w14:paraId="27AE94BD" w14:textId="77777777" w:rsidR="007914EA" w:rsidRDefault="007914EA" w:rsidP="006635F4">
      <w:pPr>
        <w:spacing w:after="0" w:line="240" w:lineRule="auto"/>
        <w:jc w:val="center"/>
        <w:rPr>
          <w:rFonts w:ascii="Arial" w:eastAsia="Times New Roman" w:hAnsi="Arial" w:cs="Arial"/>
          <w:b/>
          <w:sz w:val="24"/>
          <w:szCs w:val="24"/>
          <w:lang w:val="es-ES" w:eastAsia="es-ES"/>
        </w:rPr>
      </w:pPr>
    </w:p>
    <w:p w14:paraId="6F8CDCB7" w14:textId="77777777" w:rsidR="007914EA" w:rsidRDefault="007914EA" w:rsidP="006635F4">
      <w:pPr>
        <w:spacing w:after="0" w:line="240" w:lineRule="auto"/>
        <w:jc w:val="center"/>
        <w:rPr>
          <w:rFonts w:ascii="Arial" w:eastAsia="Times New Roman" w:hAnsi="Arial" w:cs="Arial"/>
          <w:b/>
          <w:sz w:val="24"/>
          <w:szCs w:val="24"/>
          <w:lang w:val="es-ES" w:eastAsia="es-ES"/>
        </w:rPr>
      </w:pPr>
    </w:p>
    <w:p w14:paraId="09FC5251" w14:textId="77777777" w:rsidR="007914EA" w:rsidRDefault="007914EA" w:rsidP="006635F4">
      <w:pPr>
        <w:spacing w:after="0" w:line="240" w:lineRule="auto"/>
        <w:jc w:val="center"/>
        <w:rPr>
          <w:rFonts w:ascii="Arial" w:eastAsia="Times New Roman" w:hAnsi="Arial" w:cs="Arial"/>
          <w:b/>
          <w:sz w:val="24"/>
          <w:szCs w:val="24"/>
          <w:lang w:val="es-ES" w:eastAsia="es-ES"/>
        </w:rPr>
      </w:pPr>
    </w:p>
    <w:p w14:paraId="2FEEAE64" w14:textId="77777777" w:rsidR="007914EA" w:rsidRDefault="007914EA" w:rsidP="006635F4">
      <w:pPr>
        <w:spacing w:after="0" w:line="240" w:lineRule="auto"/>
        <w:jc w:val="center"/>
        <w:rPr>
          <w:rFonts w:ascii="Arial" w:eastAsia="Times New Roman" w:hAnsi="Arial" w:cs="Arial"/>
          <w:b/>
          <w:sz w:val="24"/>
          <w:szCs w:val="24"/>
          <w:lang w:val="es-ES" w:eastAsia="es-ES"/>
        </w:rPr>
      </w:pPr>
    </w:p>
    <w:p w14:paraId="72A4F84F" w14:textId="77777777" w:rsidR="007914EA" w:rsidRDefault="007914EA" w:rsidP="006635F4">
      <w:pPr>
        <w:spacing w:after="0" w:line="240" w:lineRule="auto"/>
        <w:jc w:val="center"/>
        <w:rPr>
          <w:rFonts w:ascii="Arial" w:eastAsia="Times New Roman" w:hAnsi="Arial" w:cs="Arial"/>
          <w:b/>
          <w:sz w:val="24"/>
          <w:szCs w:val="24"/>
          <w:lang w:val="es-ES" w:eastAsia="es-ES"/>
        </w:rPr>
      </w:pPr>
    </w:p>
    <w:p w14:paraId="3DD6E191" w14:textId="77777777" w:rsidR="007914EA" w:rsidRDefault="007914EA" w:rsidP="006635F4">
      <w:pPr>
        <w:spacing w:after="0" w:line="240" w:lineRule="auto"/>
        <w:jc w:val="center"/>
        <w:rPr>
          <w:rFonts w:ascii="Arial" w:eastAsia="Times New Roman" w:hAnsi="Arial" w:cs="Arial"/>
          <w:b/>
          <w:sz w:val="24"/>
          <w:szCs w:val="24"/>
          <w:lang w:val="es-ES" w:eastAsia="es-ES"/>
        </w:rPr>
      </w:pPr>
    </w:p>
    <w:p w14:paraId="77983CAF" w14:textId="77777777" w:rsidR="007914EA" w:rsidRDefault="007914EA" w:rsidP="006635F4">
      <w:pPr>
        <w:spacing w:after="0" w:line="240" w:lineRule="auto"/>
        <w:jc w:val="center"/>
        <w:rPr>
          <w:rFonts w:ascii="Arial" w:eastAsia="Times New Roman" w:hAnsi="Arial" w:cs="Arial"/>
          <w:b/>
          <w:sz w:val="24"/>
          <w:szCs w:val="24"/>
          <w:lang w:val="es-ES" w:eastAsia="es-ES"/>
        </w:rPr>
      </w:pPr>
    </w:p>
    <w:p w14:paraId="265CEA94" w14:textId="77777777" w:rsidR="007914EA" w:rsidRDefault="007914EA" w:rsidP="006635F4">
      <w:pPr>
        <w:spacing w:after="0" w:line="240" w:lineRule="auto"/>
        <w:jc w:val="center"/>
        <w:rPr>
          <w:rFonts w:ascii="Arial" w:eastAsia="Times New Roman" w:hAnsi="Arial" w:cs="Arial"/>
          <w:b/>
          <w:sz w:val="24"/>
          <w:szCs w:val="24"/>
          <w:lang w:val="es-ES" w:eastAsia="es-ES"/>
        </w:rPr>
      </w:pPr>
    </w:p>
    <w:p w14:paraId="55A003E9" w14:textId="77777777" w:rsidR="007914EA" w:rsidRDefault="007914EA" w:rsidP="006635F4">
      <w:pPr>
        <w:spacing w:after="0" w:line="240" w:lineRule="auto"/>
        <w:jc w:val="center"/>
        <w:rPr>
          <w:rFonts w:ascii="Arial" w:eastAsia="Times New Roman" w:hAnsi="Arial" w:cs="Arial"/>
          <w:b/>
          <w:sz w:val="24"/>
          <w:szCs w:val="24"/>
          <w:lang w:val="es-ES" w:eastAsia="es-ES"/>
        </w:rPr>
      </w:pPr>
    </w:p>
    <w:p w14:paraId="76C2DACE" w14:textId="77777777" w:rsidR="007914EA" w:rsidRDefault="007914EA" w:rsidP="006635F4">
      <w:pPr>
        <w:spacing w:after="0" w:line="240" w:lineRule="auto"/>
        <w:jc w:val="center"/>
        <w:rPr>
          <w:rFonts w:ascii="Arial" w:eastAsia="Times New Roman" w:hAnsi="Arial" w:cs="Arial"/>
          <w:b/>
          <w:sz w:val="24"/>
          <w:szCs w:val="24"/>
          <w:lang w:val="es-ES" w:eastAsia="es-ES"/>
        </w:rPr>
      </w:pPr>
    </w:p>
    <w:p w14:paraId="2C5116E2" w14:textId="77777777" w:rsidR="007914EA" w:rsidRDefault="007914EA" w:rsidP="006635F4">
      <w:pPr>
        <w:spacing w:after="0" w:line="240" w:lineRule="auto"/>
        <w:jc w:val="center"/>
        <w:rPr>
          <w:rFonts w:ascii="Arial" w:eastAsia="Times New Roman" w:hAnsi="Arial" w:cs="Arial"/>
          <w:b/>
          <w:sz w:val="24"/>
          <w:szCs w:val="24"/>
          <w:lang w:val="es-ES" w:eastAsia="es-ES"/>
        </w:rPr>
      </w:pPr>
    </w:p>
    <w:p w14:paraId="3DE7B44B" w14:textId="77777777" w:rsidR="007914EA" w:rsidRDefault="007914EA" w:rsidP="006635F4">
      <w:pPr>
        <w:spacing w:after="0" w:line="240" w:lineRule="auto"/>
        <w:jc w:val="center"/>
        <w:rPr>
          <w:rFonts w:ascii="Arial" w:eastAsia="Times New Roman" w:hAnsi="Arial" w:cs="Arial"/>
          <w:b/>
          <w:sz w:val="24"/>
          <w:szCs w:val="24"/>
          <w:lang w:val="es-ES" w:eastAsia="es-ES"/>
        </w:rPr>
      </w:pPr>
    </w:p>
    <w:p w14:paraId="7CFC7310" w14:textId="77777777" w:rsidR="007914EA" w:rsidRDefault="007914EA" w:rsidP="006635F4">
      <w:pPr>
        <w:spacing w:after="0" w:line="240" w:lineRule="auto"/>
        <w:jc w:val="center"/>
        <w:rPr>
          <w:rFonts w:ascii="Arial" w:eastAsia="Times New Roman" w:hAnsi="Arial" w:cs="Arial"/>
          <w:b/>
          <w:sz w:val="24"/>
          <w:szCs w:val="24"/>
          <w:lang w:val="es-ES" w:eastAsia="es-ES"/>
        </w:rPr>
      </w:pPr>
    </w:p>
    <w:p w14:paraId="7BD73A80" w14:textId="77777777" w:rsidR="007914EA" w:rsidRDefault="007914EA" w:rsidP="006635F4">
      <w:pPr>
        <w:spacing w:after="0" w:line="240" w:lineRule="auto"/>
        <w:jc w:val="center"/>
        <w:rPr>
          <w:rFonts w:ascii="Arial" w:eastAsia="Times New Roman" w:hAnsi="Arial" w:cs="Arial"/>
          <w:b/>
          <w:sz w:val="24"/>
          <w:szCs w:val="24"/>
          <w:lang w:val="es-ES" w:eastAsia="es-ES"/>
        </w:rPr>
      </w:pPr>
    </w:p>
    <w:p w14:paraId="0AEC2CED" w14:textId="77777777" w:rsidR="007914EA" w:rsidRDefault="007914EA" w:rsidP="006635F4">
      <w:pPr>
        <w:spacing w:after="0" w:line="240" w:lineRule="auto"/>
        <w:jc w:val="center"/>
        <w:rPr>
          <w:rFonts w:ascii="Arial" w:eastAsia="Times New Roman" w:hAnsi="Arial" w:cs="Arial"/>
          <w:b/>
          <w:sz w:val="24"/>
          <w:szCs w:val="24"/>
          <w:lang w:val="es-ES" w:eastAsia="es-ES"/>
        </w:rPr>
      </w:pPr>
    </w:p>
    <w:p w14:paraId="21842D48" w14:textId="77777777" w:rsidR="007914EA" w:rsidRDefault="007914EA" w:rsidP="006635F4">
      <w:pPr>
        <w:spacing w:after="0" w:line="240" w:lineRule="auto"/>
        <w:jc w:val="center"/>
        <w:rPr>
          <w:rFonts w:ascii="Arial" w:eastAsia="Times New Roman" w:hAnsi="Arial" w:cs="Arial"/>
          <w:b/>
          <w:sz w:val="24"/>
          <w:szCs w:val="24"/>
          <w:lang w:val="es-ES" w:eastAsia="es-ES"/>
        </w:rPr>
      </w:pPr>
    </w:p>
    <w:p w14:paraId="66C9EAEF" w14:textId="77777777" w:rsidR="007914EA" w:rsidRDefault="007914EA" w:rsidP="006635F4">
      <w:pPr>
        <w:spacing w:after="0" w:line="240" w:lineRule="auto"/>
        <w:jc w:val="center"/>
        <w:rPr>
          <w:rFonts w:ascii="Arial" w:eastAsia="Times New Roman" w:hAnsi="Arial" w:cs="Arial"/>
          <w:b/>
          <w:sz w:val="24"/>
          <w:szCs w:val="24"/>
          <w:lang w:val="es-ES" w:eastAsia="es-ES"/>
        </w:rPr>
      </w:pPr>
    </w:p>
    <w:p w14:paraId="6B46D379" w14:textId="77777777" w:rsidR="007914EA" w:rsidRDefault="007914EA" w:rsidP="006635F4">
      <w:pPr>
        <w:spacing w:after="0" w:line="240" w:lineRule="auto"/>
        <w:jc w:val="center"/>
        <w:rPr>
          <w:rFonts w:ascii="Arial" w:eastAsia="Times New Roman" w:hAnsi="Arial" w:cs="Arial"/>
          <w:b/>
          <w:sz w:val="24"/>
          <w:szCs w:val="24"/>
          <w:lang w:val="es-ES" w:eastAsia="es-ES"/>
        </w:rPr>
      </w:pPr>
    </w:p>
    <w:p w14:paraId="172BC471" w14:textId="77777777" w:rsidR="007914EA" w:rsidRDefault="007914EA" w:rsidP="006635F4">
      <w:pPr>
        <w:spacing w:after="0" w:line="240" w:lineRule="auto"/>
        <w:jc w:val="center"/>
        <w:rPr>
          <w:rFonts w:ascii="Arial" w:eastAsia="Times New Roman" w:hAnsi="Arial" w:cs="Arial"/>
          <w:b/>
          <w:sz w:val="24"/>
          <w:szCs w:val="24"/>
          <w:lang w:val="es-ES" w:eastAsia="es-ES"/>
        </w:rPr>
      </w:pPr>
    </w:p>
    <w:p w14:paraId="051BE3B8" w14:textId="77777777" w:rsidR="007914EA" w:rsidRDefault="007914EA" w:rsidP="006635F4">
      <w:pPr>
        <w:spacing w:after="0" w:line="240" w:lineRule="auto"/>
        <w:jc w:val="center"/>
        <w:rPr>
          <w:rFonts w:ascii="Arial" w:eastAsia="Times New Roman" w:hAnsi="Arial" w:cs="Arial"/>
          <w:b/>
          <w:sz w:val="24"/>
          <w:szCs w:val="24"/>
          <w:lang w:val="es-ES" w:eastAsia="es-ES"/>
        </w:rPr>
      </w:pPr>
    </w:p>
    <w:p w14:paraId="19FBB3F5" w14:textId="77777777" w:rsidR="007914EA" w:rsidRDefault="007914EA" w:rsidP="006635F4">
      <w:pPr>
        <w:spacing w:after="0" w:line="240" w:lineRule="auto"/>
        <w:jc w:val="center"/>
        <w:rPr>
          <w:rFonts w:ascii="Arial" w:eastAsia="Times New Roman" w:hAnsi="Arial" w:cs="Arial"/>
          <w:b/>
          <w:sz w:val="24"/>
          <w:szCs w:val="24"/>
          <w:lang w:val="es-ES" w:eastAsia="es-ES"/>
        </w:rPr>
      </w:pPr>
    </w:p>
    <w:p w14:paraId="683374A0" w14:textId="77777777" w:rsidR="007914EA" w:rsidRDefault="007914EA" w:rsidP="006635F4">
      <w:pPr>
        <w:spacing w:after="0" w:line="240" w:lineRule="auto"/>
        <w:jc w:val="center"/>
        <w:rPr>
          <w:rFonts w:ascii="Arial" w:eastAsia="Times New Roman" w:hAnsi="Arial" w:cs="Arial"/>
          <w:b/>
          <w:sz w:val="24"/>
          <w:szCs w:val="24"/>
          <w:lang w:val="es-ES" w:eastAsia="es-ES"/>
        </w:rPr>
      </w:pPr>
    </w:p>
    <w:p w14:paraId="190E07ED" w14:textId="77777777" w:rsidR="007914EA" w:rsidRDefault="007914EA" w:rsidP="006635F4">
      <w:pPr>
        <w:spacing w:after="0" w:line="240" w:lineRule="auto"/>
        <w:jc w:val="center"/>
        <w:rPr>
          <w:rFonts w:ascii="Arial" w:eastAsia="Times New Roman" w:hAnsi="Arial" w:cs="Arial"/>
          <w:b/>
          <w:sz w:val="24"/>
          <w:szCs w:val="24"/>
          <w:lang w:val="es-ES" w:eastAsia="es-ES"/>
        </w:rPr>
      </w:pPr>
    </w:p>
    <w:p w14:paraId="4A52D4DB" w14:textId="77777777" w:rsidR="007914EA" w:rsidRDefault="007914EA" w:rsidP="006635F4">
      <w:pPr>
        <w:spacing w:after="0" w:line="240" w:lineRule="auto"/>
        <w:jc w:val="center"/>
        <w:rPr>
          <w:rFonts w:ascii="Arial" w:eastAsia="Times New Roman" w:hAnsi="Arial" w:cs="Arial"/>
          <w:b/>
          <w:sz w:val="24"/>
          <w:szCs w:val="24"/>
          <w:lang w:val="es-ES" w:eastAsia="es-ES"/>
        </w:rPr>
      </w:pPr>
    </w:p>
    <w:p w14:paraId="66BCB384" w14:textId="77777777" w:rsidR="007914EA" w:rsidRDefault="007914EA" w:rsidP="006635F4">
      <w:pPr>
        <w:spacing w:after="0" w:line="240" w:lineRule="auto"/>
        <w:jc w:val="center"/>
        <w:rPr>
          <w:rFonts w:ascii="Arial" w:eastAsia="Times New Roman" w:hAnsi="Arial" w:cs="Arial"/>
          <w:b/>
          <w:sz w:val="24"/>
          <w:szCs w:val="24"/>
          <w:lang w:val="es-ES" w:eastAsia="es-ES"/>
        </w:rPr>
      </w:pPr>
    </w:p>
    <w:p w14:paraId="703FC69C" w14:textId="77777777" w:rsidR="007914EA" w:rsidRDefault="007914EA" w:rsidP="006635F4">
      <w:pPr>
        <w:spacing w:after="0" w:line="240" w:lineRule="auto"/>
        <w:jc w:val="center"/>
        <w:rPr>
          <w:rFonts w:ascii="Arial" w:eastAsia="Times New Roman" w:hAnsi="Arial" w:cs="Arial"/>
          <w:b/>
          <w:sz w:val="24"/>
          <w:szCs w:val="24"/>
          <w:lang w:val="es-ES" w:eastAsia="es-ES"/>
        </w:rPr>
      </w:pPr>
    </w:p>
    <w:p w14:paraId="59B351F2" w14:textId="77777777" w:rsidR="007914EA" w:rsidRDefault="007914EA" w:rsidP="006635F4">
      <w:pPr>
        <w:spacing w:after="0" w:line="240" w:lineRule="auto"/>
        <w:jc w:val="center"/>
        <w:rPr>
          <w:rFonts w:ascii="Arial" w:eastAsia="Times New Roman" w:hAnsi="Arial" w:cs="Arial"/>
          <w:b/>
          <w:sz w:val="24"/>
          <w:szCs w:val="24"/>
          <w:lang w:val="es-ES" w:eastAsia="es-ES"/>
        </w:rPr>
      </w:pPr>
    </w:p>
    <w:p w14:paraId="4F5B93BE" w14:textId="77777777" w:rsidR="007914EA" w:rsidRDefault="007914EA" w:rsidP="006635F4">
      <w:pPr>
        <w:spacing w:after="0" w:line="240" w:lineRule="auto"/>
        <w:jc w:val="center"/>
        <w:rPr>
          <w:rFonts w:ascii="Arial" w:eastAsia="Times New Roman" w:hAnsi="Arial" w:cs="Arial"/>
          <w:b/>
          <w:sz w:val="24"/>
          <w:szCs w:val="24"/>
          <w:lang w:val="es-ES" w:eastAsia="es-ES"/>
        </w:rPr>
      </w:pPr>
    </w:p>
    <w:p w14:paraId="073FD045" w14:textId="77777777" w:rsidR="007914EA" w:rsidRDefault="007914EA" w:rsidP="006635F4">
      <w:pPr>
        <w:spacing w:after="0" w:line="240" w:lineRule="auto"/>
        <w:jc w:val="center"/>
        <w:rPr>
          <w:rFonts w:ascii="Arial" w:eastAsia="Times New Roman" w:hAnsi="Arial" w:cs="Arial"/>
          <w:b/>
          <w:sz w:val="24"/>
          <w:szCs w:val="24"/>
          <w:lang w:val="es-ES" w:eastAsia="es-ES"/>
        </w:rPr>
      </w:pPr>
    </w:p>
    <w:p w14:paraId="36259E4A" w14:textId="77777777" w:rsidR="007914EA" w:rsidRDefault="007914EA" w:rsidP="006635F4">
      <w:pPr>
        <w:spacing w:after="0" w:line="240" w:lineRule="auto"/>
        <w:jc w:val="center"/>
        <w:rPr>
          <w:rFonts w:ascii="Arial" w:eastAsia="Times New Roman" w:hAnsi="Arial" w:cs="Arial"/>
          <w:b/>
          <w:sz w:val="24"/>
          <w:szCs w:val="24"/>
          <w:lang w:val="es-ES" w:eastAsia="es-ES"/>
        </w:rPr>
      </w:pPr>
    </w:p>
    <w:p w14:paraId="5C3651B3" w14:textId="77777777" w:rsidR="007914EA" w:rsidRDefault="007914EA" w:rsidP="006635F4">
      <w:pPr>
        <w:spacing w:after="0" w:line="240" w:lineRule="auto"/>
        <w:jc w:val="center"/>
        <w:rPr>
          <w:rFonts w:ascii="Arial" w:eastAsia="Times New Roman" w:hAnsi="Arial" w:cs="Arial"/>
          <w:b/>
          <w:sz w:val="24"/>
          <w:szCs w:val="24"/>
          <w:lang w:val="es-ES" w:eastAsia="es-ES"/>
        </w:rPr>
      </w:pPr>
    </w:p>
    <w:p w14:paraId="2AE9318C" w14:textId="77777777" w:rsidR="006635F4" w:rsidRPr="006635F4" w:rsidRDefault="006635F4" w:rsidP="006635F4">
      <w:pPr>
        <w:spacing w:after="0" w:line="240" w:lineRule="auto"/>
        <w:jc w:val="center"/>
        <w:rPr>
          <w:rFonts w:ascii="Arial" w:eastAsia="Times New Roman" w:hAnsi="Arial" w:cs="Arial"/>
          <w:sz w:val="24"/>
          <w:szCs w:val="24"/>
          <w:lang w:val="es-ES" w:eastAsia="es-ES"/>
        </w:rPr>
      </w:pPr>
      <w:r w:rsidRPr="006635F4">
        <w:rPr>
          <w:rFonts w:ascii="Arial" w:eastAsia="Times New Roman" w:hAnsi="Arial" w:cs="Arial"/>
          <w:sz w:val="24"/>
          <w:szCs w:val="24"/>
          <w:lang w:val="es-ES" w:eastAsia="es-ES"/>
        </w:rPr>
        <w:t xml:space="preserve">LA ASAMBLEA LEGISLATIVA DE LA REPÚBLICA DE COSTA RICA </w:t>
      </w:r>
    </w:p>
    <w:p w14:paraId="4F1E8274" w14:textId="77777777" w:rsidR="006635F4" w:rsidRPr="00126453" w:rsidRDefault="006635F4" w:rsidP="006635F4">
      <w:pPr>
        <w:spacing w:after="0" w:line="240" w:lineRule="auto"/>
        <w:jc w:val="center"/>
        <w:rPr>
          <w:rFonts w:ascii="Arial" w:eastAsia="Times New Roman" w:hAnsi="Arial" w:cs="Arial"/>
          <w:sz w:val="24"/>
          <w:szCs w:val="24"/>
          <w:lang w:val="es-ES" w:eastAsia="es-ES"/>
        </w:rPr>
      </w:pPr>
      <w:r w:rsidRPr="006635F4">
        <w:rPr>
          <w:rFonts w:ascii="Arial" w:eastAsia="Times New Roman" w:hAnsi="Arial" w:cs="Arial"/>
          <w:sz w:val="24"/>
          <w:szCs w:val="24"/>
          <w:lang w:val="es-ES" w:eastAsia="es-ES"/>
        </w:rPr>
        <w:t>DECRETA:</w:t>
      </w:r>
    </w:p>
    <w:p w14:paraId="607F77A0" w14:textId="77777777" w:rsidR="007914EA" w:rsidRPr="006635F4" w:rsidRDefault="007914EA" w:rsidP="006635F4">
      <w:pPr>
        <w:spacing w:after="0" w:line="240" w:lineRule="auto"/>
        <w:jc w:val="center"/>
        <w:rPr>
          <w:rFonts w:ascii="Arial" w:eastAsia="Times New Roman" w:hAnsi="Arial" w:cs="Arial"/>
          <w:sz w:val="24"/>
          <w:szCs w:val="24"/>
          <w:lang w:val="es-ES" w:eastAsia="es-ES"/>
        </w:rPr>
      </w:pPr>
    </w:p>
    <w:p w14:paraId="151D2D03" w14:textId="77777777" w:rsidR="007914EA" w:rsidRDefault="006635F4" w:rsidP="006635F4">
      <w:pPr>
        <w:spacing w:after="0" w:line="240" w:lineRule="auto"/>
        <w:jc w:val="center"/>
        <w:rPr>
          <w:rFonts w:ascii="Arial" w:eastAsia="Times New Roman" w:hAnsi="Arial" w:cs="Arial"/>
          <w:b/>
          <w:bCs/>
          <w:sz w:val="24"/>
          <w:szCs w:val="24"/>
          <w:lang w:eastAsia="es-ES"/>
        </w:rPr>
      </w:pPr>
      <w:r w:rsidRPr="007914EA">
        <w:rPr>
          <w:rFonts w:ascii="Arial" w:eastAsia="Times New Roman" w:hAnsi="Arial" w:cs="Arial"/>
          <w:b/>
          <w:bCs/>
          <w:sz w:val="24"/>
          <w:szCs w:val="24"/>
          <w:lang w:eastAsia="es-ES"/>
        </w:rPr>
        <w:lastRenderedPageBreak/>
        <w:t xml:space="preserve">REFORMA A LOS ARTÍCULOS 106 BIS Y 106 TER DEL CÓDIGO </w:t>
      </w:r>
    </w:p>
    <w:p w14:paraId="1B54978C" w14:textId="77777777" w:rsidR="006635F4" w:rsidRPr="007914EA" w:rsidRDefault="006635F4" w:rsidP="006635F4">
      <w:pPr>
        <w:spacing w:after="0" w:line="240" w:lineRule="auto"/>
        <w:jc w:val="center"/>
        <w:rPr>
          <w:rFonts w:ascii="Calibri" w:eastAsia="Times New Roman" w:hAnsi="Calibri" w:cs="Times New Roman"/>
          <w:bCs/>
          <w:sz w:val="24"/>
          <w:szCs w:val="24"/>
          <w:lang w:eastAsia="es-ES"/>
        </w:rPr>
      </w:pPr>
      <w:r w:rsidRPr="007914EA">
        <w:rPr>
          <w:rFonts w:ascii="Arial" w:eastAsia="Times New Roman" w:hAnsi="Arial" w:cs="Arial"/>
          <w:b/>
          <w:bCs/>
          <w:sz w:val="24"/>
          <w:szCs w:val="24"/>
          <w:lang w:eastAsia="es-ES"/>
        </w:rPr>
        <w:t>DE NORMAS Y PROCEDIMIENTOS TRIBUTARIOS</w:t>
      </w:r>
    </w:p>
    <w:p w14:paraId="174685F7" w14:textId="77777777" w:rsidR="006635F4" w:rsidRPr="007914EA" w:rsidRDefault="006635F4" w:rsidP="006635F4">
      <w:pPr>
        <w:spacing w:after="0" w:line="240" w:lineRule="auto"/>
        <w:rPr>
          <w:rFonts w:ascii="Arial" w:eastAsia="Times New Roman" w:hAnsi="Arial" w:cs="Arial"/>
          <w:sz w:val="24"/>
          <w:szCs w:val="24"/>
          <w:lang w:val="es-ES" w:eastAsia="es-ES"/>
        </w:rPr>
      </w:pPr>
    </w:p>
    <w:p w14:paraId="078E1FBD" w14:textId="77777777" w:rsidR="007914EA" w:rsidRPr="007914EA" w:rsidRDefault="007914EA" w:rsidP="006635F4">
      <w:pPr>
        <w:spacing w:after="0" w:line="240" w:lineRule="auto"/>
        <w:rPr>
          <w:rFonts w:ascii="Arial" w:eastAsia="Times New Roman" w:hAnsi="Arial" w:cs="Arial"/>
          <w:sz w:val="24"/>
          <w:szCs w:val="24"/>
          <w:lang w:val="es-ES" w:eastAsia="es-ES"/>
        </w:rPr>
      </w:pPr>
    </w:p>
    <w:p w14:paraId="72644251" w14:textId="77777777" w:rsidR="007914EA" w:rsidRPr="006635F4" w:rsidRDefault="007914EA" w:rsidP="006635F4">
      <w:pPr>
        <w:spacing w:after="0" w:line="240" w:lineRule="auto"/>
        <w:rPr>
          <w:rFonts w:ascii="Arial" w:eastAsia="Times New Roman" w:hAnsi="Arial" w:cs="Arial"/>
          <w:sz w:val="24"/>
          <w:szCs w:val="24"/>
          <w:lang w:val="es-ES" w:eastAsia="es-ES"/>
        </w:rPr>
      </w:pPr>
    </w:p>
    <w:p w14:paraId="0B510129" w14:textId="77777777" w:rsidR="006635F4" w:rsidRPr="006635F4" w:rsidRDefault="007914EA" w:rsidP="006635F4">
      <w:pPr>
        <w:spacing w:after="0" w:line="240" w:lineRule="auto"/>
        <w:jc w:val="both"/>
        <w:rPr>
          <w:rFonts w:ascii="Arial" w:eastAsia="Times New Roman" w:hAnsi="Arial" w:cs="Arial"/>
          <w:sz w:val="24"/>
          <w:szCs w:val="24"/>
          <w:lang w:val="es-ES" w:eastAsia="es-ES"/>
        </w:rPr>
      </w:pPr>
      <w:r w:rsidRPr="007914EA">
        <w:rPr>
          <w:rFonts w:ascii="Arial" w:eastAsia="Times New Roman" w:hAnsi="Arial" w:cs="Arial"/>
          <w:sz w:val="24"/>
          <w:szCs w:val="24"/>
          <w:lang w:val="es-ES" w:eastAsia="es-ES"/>
        </w:rPr>
        <w:t>ARTÍCULO ÚNICO-</w:t>
      </w:r>
      <w:r>
        <w:rPr>
          <w:rFonts w:ascii="Arial" w:eastAsia="Times New Roman" w:hAnsi="Arial" w:cs="Arial"/>
          <w:b/>
          <w:sz w:val="24"/>
          <w:szCs w:val="24"/>
          <w:lang w:val="es-ES" w:eastAsia="es-ES"/>
        </w:rPr>
        <w:tab/>
      </w:r>
      <w:r w:rsidR="006635F4" w:rsidRPr="006635F4">
        <w:rPr>
          <w:rFonts w:ascii="Arial" w:eastAsia="Times New Roman" w:hAnsi="Arial" w:cs="Arial"/>
          <w:sz w:val="24"/>
          <w:szCs w:val="24"/>
          <w:lang w:val="es-ES" w:eastAsia="es-ES"/>
        </w:rPr>
        <w:t>Modifíquese los artículos 106 bis y 106 ter del Código de Normas y Procedimientos Tributarios, Ley Nº 4755 del 3 de mayo de 1971, y sus reformas, para que en adelante se lean de la siguiente manera:</w:t>
      </w:r>
    </w:p>
    <w:p w14:paraId="3DA62C61" w14:textId="77777777" w:rsidR="006635F4" w:rsidRPr="006635F4" w:rsidRDefault="006635F4" w:rsidP="006635F4">
      <w:pPr>
        <w:spacing w:after="0" w:line="240" w:lineRule="auto"/>
        <w:jc w:val="both"/>
        <w:rPr>
          <w:rFonts w:ascii="Arial" w:eastAsia="Times New Roman" w:hAnsi="Arial" w:cs="Arial"/>
          <w:sz w:val="24"/>
          <w:szCs w:val="24"/>
          <w:lang w:val="es-ES" w:eastAsia="es-ES"/>
        </w:rPr>
      </w:pPr>
    </w:p>
    <w:p w14:paraId="2B015EB4" w14:textId="77777777" w:rsidR="006635F4" w:rsidRPr="006635F4" w:rsidRDefault="007914EA" w:rsidP="006635F4">
      <w:pPr>
        <w:spacing w:after="0" w:line="240" w:lineRule="auto"/>
        <w:jc w:val="both"/>
        <w:rPr>
          <w:rFonts w:ascii="Arial" w:eastAsia="Times New Roman" w:hAnsi="Arial" w:cs="Arial"/>
          <w:sz w:val="24"/>
          <w:szCs w:val="24"/>
          <w:lang w:val="es-ES" w:eastAsia="es-ES"/>
        </w:rPr>
      </w:pPr>
      <w:r>
        <w:rPr>
          <w:rFonts w:ascii="Arial" w:eastAsia="Times New Roman" w:hAnsi="Arial" w:cs="Arial"/>
          <w:bCs/>
          <w:sz w:val="24"/>
          <w:szCs w:val="24"/>
          <w:lang w:val="es-ES" w:eastAsia="es-ES"/>
        </w:rPr>
        <w:t>Artículo 106 bis-</w:t>
      </w:r>
      <w:r>
        <w:rPr>
          <w:rFonts w:ascii="Arial" w:eastAsia="Times New Roman" w:hAnsi="Arial" w:cs="Arial"/>
          <w:bCs/>
          <w:sz w:val="24"/>
          <w:szCs w:val="24"/>
          <w:lang w:val="es-ES" w:eastAsia="es-ES"/>
        </w:rPr>
        <w:tab/>
      </w:r>
      <w:r w:rsidR="006635F4" w:rsidRPr="006635F4">
        <w:rPr>
          <w:rFonts w:ascii="Arial" w:eastAsia="Times New Roman" w:hAnsi="Arial" w:cs="Arial"/>
          <w:bCs/>
          <w:sz w:val="24"/>
          <w:szCs w:val="24"/>
          <w:lang w:val="es-ES" w:eastAsia="es-ES"/>
        </w:rPr>
        <w:t>Información en poder de entidades financieras para uso en actividades de control propias de la Administración Tributaria.</w:t>
      </w:r>
      <w:r>
        <w:rPr>
          <w:rFonts w:ascii="Arial" w:eastAsia="Times New Roman" w:hAnsi="Arial" w:cs="Arial"/>
          <w:sz w:val="24"/>
          <w:szCs w:val="24"/>
          <w:lang w:val="es-ES" w:eastAsia="es-ES"/>
        </w:rPr>
        <w:t xml:space="preserve">  </w:t>
      </w:r>
      <w:r w:rsidR="006635F4" w:rsidRPr="006635F4">
        <w:rPr>
          <w:rFonts w:ascii="Arial" w:eastAsia="Times New Roman" w:hAnsi="Arial" w:cs="Arial"/>
          <w:sz w:val="24"/>
          <w:szCs w:val="24"/>
          <w:lang w:val="es-ES" w:eastAsia="es-ES"/>
        </w:rPr>
        <w:t>Las entidades financieras deberán proporcionar a la Administración Tributaria información sobre sus clientes, incluyendo información sobre transacciones, operaciones y balances, así como toda clase de información sobre movimiento de cuentas corrientes y de ahorro, depósitos, certificados a plazo, cuentas de préstamos y créditos, fideicomisos, inversiones individuales, inversiones en carteras mancomunadas, transacciones bursátiles y demás operaciones, ya sean activas o pasivas, en el tanto la información sea previsiblemente pertinente para efectos tributarios.</w:t>
      </w:r>
    </w:p>
    <w:p w14:paraId="6E9AF495" w14:textId="77777777" w:rsidR="006635F4" w:rsidRPr="006635F4" w:rsidRDefault="006635F4" w:rsidP="006635F4">
      <w:pPr>
        <w:spacing w:after="0" w:line="240" w:lineRule="auto"/>
        <w:jc w:val="both"/>
        <w:rPr>
          <w:rFonts w:ascii="Arial" w:eastAsia="Times New Roman" w:hAnsi="Arial" w:cs="Arial"/>
          <w:color w:val="000000"/>
          <w:sz w:val="24"/>
          <w:szCs w:val="24"/>
          <w:lang w:val="es-ES" w:eastAsia="es-ES"/>
        </w:rPr>
      </w:pPr>
    </w:p>
    <w:p w14:paraId="49A5E620" w14:textId="77777777" w:rsidR="006635F4" w:rsidRPr="006635F4" w:rsidRDefault="006635F4" w:rsidP="006635F4">
      <w:pPr>
        <w:spacing w:after="0" w:line="240" w:lineRule="auto"/>
        <w:jc w:val="both"/>
        <w:rPr>
          <w:rFonts w:ascii="Arial" w:eastAsia="Times New Roman" w:hAnsi="Arial" w:cs="Arial"/>
          <w:sz w:val="24"/>
          <w:szCs w:val="24"/>
          <w:lang w:val="es-ES" w:eastAsia="es-ES"/>
        </w:rPr>
      </w:pPr>
      <w:r w:rsidRPr="006635F4">
        <w:rPr>
          <w:rFonts w:ascii="Arial" w:eastAsia="Times New Roman" w:hAnsi="Arial" w:cs="Arial"/>
          <w:color w:val="000000"/>
          <w:sz w:val="24"/>
          <w:szCs w:val="24"/>
          <w:lang w:val="es-ES" w:eastAsia="es-ES"/>
        </w:rPr>
        <w:t xml:space="preserve">El término "entidad financiera" incluirá todas aquellas entidades que sean reguladas, supervisadas o fiscalizadas por los siguientes órganos, según corresponda: </w:t>
      </w:r>
      <w:r w:rsidR="007914EA">
        <w:rPr>
          <w:rFonts w:ascii="Arial" w:eastAsia="Times New Roman" w:hAnsi="Arial" w:cs="Arial"/>
          <w:color w:val="000000"/>
          <w:sz w:val="24"/>
          <w:szCs w:val="24"/>
          <w:lang w:val="es-ES" w:eastAsia="es-ES"/>
        </w:rPr>
        <w:t xml:space="preserve"> </w:t>
      </w:r>
      <w:r w:rsidRPr="006635F4">
        <w:rPr>
          <w:rFonts w:ascii="Arial" w:eastAsia="Times New Roman" w:hAnsi="Arial" w:cs="Arial"/>
          <w:color w:val="000000"/>
          <w:sz w:val="24"/>
          <w:szCs w:val="24"/>
          <w:lang w:val="es-ES" w:eastAsia="es-ES"/>
        </w:rPr>
        <w:t>la Superintendencia General de Entidades Financieras, la Superintendencia General de Valores, la Superintendencia de Pensiones, la Superintendencia General de Seguros o cualquier otra superintendencia o dependencia que sea creada en el futuro y que esté a cargo del Consejo Nacional de Supervisión del Sistema Financiero.</w:t>
      </w:r>
      <w:r w:rsidR="007914EA">
        <w:rPr>
          <w:rFonts w:ascii="Arial" w:eastAsia="Times New Roman" w:hAnsi="Arial" w:cs="Arial"/>
          <w:color w:val="000000"/>
          <w:sz w:val="24"/>
          <w:szCs w:val="24"/>
          <w:lang w:val="es-ES" w:eastAsia="es-ES"/>
        </w:rPr>
        <w:t xml:space="preserve"> </w:t>
      </w:r>
      <w:r w:rsidRPr="006635F4">
        <w:rPr>
          <w:rFonts w:ascii="Arial" w:eastAsia="Times New Roman" w:hAnsi="Arial" w:cs="Arial"/>
          <w:color w:val="000000"/>
          <w:sz w:val="24"/>
          <w:szCs w:val="24"/>
          <w:lang w:val="es-ES" w:eastAsia="es-ES"/>
        </w:rPr>
        <w:t xml:space="preserve"> La anterior definición incluye a todas aquellas entidades o empresas costarricenses integrantes de los grupos financieros supervisados por los órganos mencionados.</w:t>
      </w:r>
    </w:p>
    <w:p w14:paraId="7C7A25F9" w14:textId="77777777" w:rsidR="006635F4" w:rsidRPr="006635F4" w:rsidRDefault="006635F4" w:rsidP="006635F4">
      <w:pPr>
        <w:spacing w:after="0" w:line="240" w:lineRule="auto"/>
        <w:jc w:val="both"/>
        <w:rPr>
          <w:rFonts w:ascii="Arial" w:eastAsia="Times New Roman" w:hAnsi="Arial" w:cs="Arial"/>
          <w:color w:val="000000"/>
          <w:sz w:val="24"/>
          <w:szCs w:val="24"/>
          <w:lang w:val="es-ES" w:eastAsia="es-ES"/>
        </w:rPr>
      </w:pPr>
    </w:p>
    <w:p w14:paraId="750FC52E" w14:textId="77777777" w:rsidR="006635F4" w:rsidRPr="006635F4" w:rsidRDefault="006635F4" w:rsidP="006635F4">
      <w:pPr>
        <w:spacing w:after="0" w:line="240" w:lineRule="auto"/>
        <w:jc w:val="both"/>
        <w:rPr>
          <w:rFonts w:ascii="Arial" w:eastAsia="Times New Roman" w:hAnsi="Arial" w:cs="Arial"/>
          <w:color w:val="000000"/>
          <w:sz w:val="24"/>
          <w:szCs w:val="24"/>
          <w:lang w:val="es-ES" w:eastAsia="es-ES"/>
        </w:rPr>
      </w:pPr>
      <w:r w:rsidRPr="006635F4">
        <w:rPr>
          <w:rFonts w:ascii="Arial" w:eastAsia="Times New Roman" w:hAnsi="Arial" w:cs="Arial"/>
          <w:color w:val="000000"/>
          <w:sz w:val="24"/>
          <w:szCs w:val="24"/>
          <w:lang w:val="es-ES" w:eastAsia="es-ES"/>
        </w:rPr>
        <w:t>La información solicitada se considerará previsiblemente pertinente para efectos tributarios cuando se requiera para:</w:t>
      </w:r>
    </w:p>
    <w:p w14:paraId="790C5C22" w14:textId="77777777" w:rsidR="006635F4" w:rsidRPr="006635F4" w:rsidRDefault="006635F4" w:rsidP="006635F4">
      <w:pPr>
        <w:spacing w:after="0" w:line="240" w:lineRule="auto"/>
        <w:jc w:val="both"/>
        <w:rPr>
          <w:rFonts w:ascii="Arial" w:eastAsia="Times New Roman" w:hAnsi="Arial" w:cs="Arial"/>
          <w:b/>
          <w:sz w:val="24"/>
          <w:szCs w:val="24"/>
          <w:lang w:val="es-ES" w:eastAsia="es-ES"/>
        </w:rPr>
      </w:pPr>
    </w:p>
    <w:p w14:paraId="6A37903E" w14:textId="77777777" w:rsidR="006635F4" w:rsidRPr="006635F4" w:rsidRDefault="007914EA" w:rsidP="007914EA">
      <w:pPr>
        <w:spacing w:after="0" w:line="240" w:lineRule="auto"/>
        <w:ind w:left="705" w:hanging="705"/>
        <w:contextualSpacing/>
        <w:jc w:val="both"/>
        <w:rPr>
          <w:rFonts w:ascii="Arial" w:eastAsia="Times New Roman" w:hAnsi="Arial" w:cs="Arial"/>
          <w:color w:val="000000"/>
          <w:sz w:val="24"/>
          <w:szCs w:val="24"/>
          <w:lang w:val="es-ES" w:eastAsia="es-ES"/>
        </w:rPr>
      </w:pPr>
      <w:r>
        <w:rPr>
          <w:rFonts w:ascii="Arial" w:eastAsia="Times New Roman" w:hAnsi="Arial" w:cs="Arial"/>
          <w:sz w:val="24"/>
          <w:szCs w:val="24"/>
          <w:lang w:val="es-ES" w:eastAsia="es-ES"/>
        </w:rPr>
        <w:t>a)</w:t>
      </w:r>
      <w:r>
        <w:rPr>
          <w:rFonts w:ascii="Arial" w:eastAsia="Times New Roman" w:hAnsi="Arial" w:cs="Arial"/>
          <w:sz w:val="24"/>
          <w:szCs w:val="24"/>
          <w:lang w:val="es-ES" w:eastAsia="es-ES"/>
        </w:rPr>
        <w:tab/>
      </w:r>
      <w:r w:rsidR="006635F4" w:rsidRPr="006635F4">
        <w:rPr>
          <w:rFonts w:ascii="Arial" w:eastAsia="Times New Roman" w:hAnsi="Arial" w:cs="Arial"/>
          <w:sz w:val="24"/>
          <w:szCs w:val="24"/>
          <w:lang w:val="es-ES" w:eastAsia="es-ES"/>
        </w:rPr>
        <w:t>Determinar de oficio una potencial deuda tributaria y ejecutar el cobro relacionado con tal determinación de oficio, en casos en que exista una actuación de control que haya sido debidamente iniciada y notificada a un sujeto.</w:t>
      </w:r>
    </w:p>
    <w:p w14:paraId="70A57928" w14:textId="77777777" w:rsidR="006635F4" w:rsidRPr="006635F4" w:rsidRDefault="006635F4" w:rsidP="006635F4">
      <w:pPr>
        <w:spacing w:after="0" w:line="240" w:lineRule="auto"/>
        <w:contextualSpacing/>
        <w:jc w:val="both"/>
        <w:rPr>
          <w:rFonts w:ascii="Arial" w:eastAsia="Times New Roman" w:hAnsi="Arial" w:cs="Arial"/>
          <w:color w:val="000000"/>
          <w:sz w:val="24"/>
          <w:szCs w:val="24"/>
          <w:lang w:val="es-ES" w:eastAsia="es-ES"/>
        </w:rPr>
      </w:pPr>
    </w:p>
    <w:p w14:paraId="1725DD2F" w14:textId="77777777" w:rsidR="006635F4" w:rsidRPr="006635F4" w:rsidRDefault="007914EA" w:rsidP="007914EA">
      <w:pPr>
        <w:spacing w:after="0" w:line="240" w:lineRule="auto"/>
        <w:ind w:left="705" w:hanging="705"/>
        <w:contextualSpacing/>
        <w:jc w:val="both"/>
        <w:rPr>
          <w:rFonts w:ascii="Arial" w:eastAsia="Times New Roman" w:hAnsi="Arial" w:cs="Arial"/>
          <w:color w:val="000000"/>
          <w:sz w:val="24"/>
          <w:szCs w:val="24"/>
          <w:lang w:val="es-ES" w:eastAsia="es-ES"/>
        </w:rPr>
      </w:pPr>
      <w:r>
        <w:rPr>
          <w:rFonts w:ascii="Arial" w:eastAsia="Times New Roman" w:hAnsi="Arial" w:cs="Arial"/>
          <w:sz w:val="24"/>
          <w:szCs w:val="24"/>
          <w:lang w:val="es-ES" w:eastAsia="es-ES"/>
        </w:rPr>
        <w:t>b)</w:t>
      </w:r>
      <w:r>
        <w:rPr>
          <w:rFonts w:ascii="Arial" w:eastAsia="Times New Roman" w:hAnsi="Arial" w:cs="Arial"/>
          <w:sz w:val="24"/>
          <w:szCs w:val="24"/>
          <w:lang w:val="es-ES" w:eastAsia="es-ES"/>
        </w:rPr>
        <w:tab/>
      </w:r>
      <w:r w:rsidR="006635F4" w:rsidRPr="006635F4">
        <w:rPr>
          <w:rFonts w:ascii="Arial" w:eastAsia="Times New Roman" w:hAnsi="Arial" w:cs="Arial"/>
          <w:sz w:val="24"/>
          <w:szCs w:val="24"/>
          <w:lang w:val="es-ES" w:eastAsia="es-ES"/>
        </w:rPr>
        <w:t xml:space="preserve">Elaborar planes de gestión de riesgo, los cuales se establecerán siguiendo criterios previamente definidos por la Administración Tributaria y con el objeto de evaluar y diagnosticar, mediante la utilización de procesos técnicos, el riesgo de comportamiento irregular de ciertos contribuyentes, de modo que pueda presumirse un eventual fraude fiscal o un incumplimiento formal o material de </w:t>
      </w:r>
      <w:r w:rsidR="00E95F83">
        <w:rPr>
          <w:rFonts w:ascii="Arial" w:eastAsia="Times New Roman" w:hAnsi="Arial" w:cs="Arial"/>
          <w:sz w:val="24"/>
          <w:szCs w:val="24"/>
          <w:lang w:val="es-ES" w:eastAsia="es-ES"/>
        </w:rPr>
        <w:t>obligaciones tributarias.</w:t>
      </w:r>
    </w:p>
    <w:p w14:paraId="22A30C0C" w14:textId="77777777" w:rsidR="006635F4" w:rsidRPr="006635F4" w:rsidRDefault="006635F4" w:rsidP="006635F4">
      <w:pPr>
        <w:spacing w:after="0" w:line="240" w:lineRule="auto"/>
        <w:jc w:val="both"/>
        <w:rPr>
          <w:rFonts w:ascii="Arial" w:eastAsia="Times New Roman" w:hAnsi="Arial" w:cs="Arial"/>
          <w:sz w:val="24"/>
          <w:szCs w:val="24"/>
          <w:lang w:val="es-ES" w:eastAsia="es-ES"/>
        </w:rPr>
      </w:pPr>
    </w:p>
    <w:p w14:paraId="6411F622" w14:textId="77777777" w:rsidR="006635F4" w:rsidRPr="006635F4" w:rsidRDefault="006635F4" w:rsidP="00126453">
      <w:pPr>
        <w:spacing w:after="0" w:line="240" w:lineRule="auto"/>
        <w:ind w:left="705"/>
        <w:contextualSpacing/>
        <w:jc w:val="both"/>
        <w:rPr>
          <w:rFonts w:ascii="Arial" w:eastAsia="Times New Roman" w:hAnsi="Arial" w:cs="Arial"/>
          <w:sz w:val="24"/>
          <w:szCs w:val="24"/>
          <w:lang w:val="es-ES" w:eastAsia="es-ES"/>
        </w:rPr>
      </w:pPr>
      <w:r w:rsidRPr="006635F4">
        <w:rPr>
          <w:rFonts w:ascii="Arial" w:eastAsia="Times New Roman" w:hAnsi="Arial" w:cs="Arial"/>
          <w:sz w:val="24"/>
          <w:szCs w:val="24"/>
          <w:lang w:val="es-ES" w:eastAsia="es-ES"/>
        </w:rPr>
        <w:t>La Administración Tributaria deberá hacer públicos los criterios objetivos de selección para la gestión de riesgo simultáneamente y con la misma regularidad con que se publican los criter</w:t>
      </w:r>
      <w:r w:rsidR="00E95F83">
        <w:rPr>
          <w:rFonts w:ascii="Arial" w:eastAsia="Times New Roman" w:hAnsi="Arial" w:cs="Arial"/>
          <w:sz w:val="24"/>
          <w:szCs w:val="24"/>
          <w:lang w:val="es-ES" w:eastAsia="es-ES"/>
        </w:rPr>
        <w:t>ios objetivos de fiscalización.</w:t>
      </w:r>
    </w:p>
    <w:p w14:paraId="201C6506" w14:textId="77777777" w:rsidR="006635F4" w:rsidRPr="006635F4" w:rsidRDefault="006635F4" w:rsidP="006635F4">
      <w:pPr>
        <w:spacing w:after="0" w:line="240" w:lineRule="auto"/>
        <w:contextualSpacing/>
        <w:jc w:val="both"/>
        <w:rPr>
          <w:rFonts w:ascii="Arial" w:eastAsia="Times New Roman" w:hAnsi="Arial" w:cs="Arial"/>
          <w:sz w:val="24"/>
          <w:szCs w:val="24"/>
          <w:lang w:val="es-ES" w:eastAsia="es-ES"/>
        </w:rPr>
      </w:pPr>
    </w:p>
    <w:p w14:paraId="7C5C5584" w14:textId="77777777" w:rsidR="006635F4" w:rsidRPr="006635F4" w:rsidRDefault="006635F4" w:rsidP="00126453">
      <w:pPr>
        <w:spacing w:after="0" w:line="240" w:lineRule="auto"/>
        <w:ind w:left="705"/>
        <w:contextualSpacing/>
        <w:jc w:val="both"/>
        <w:rPr>
          <w:rFonts w:ascii="Arial" w:eastAsia="Times New Roman" w:hAnsi="Arial" w:cs="Arial"/>
          <w:sz w:val="24"/>
          <w:szCs w:val="24"/>
          <w:lang w:val="es-ES" w:eastAsia="es-ES"/>
        </w:rPr>
      </w:pPr>
      <w:r w:rsidRPr="006635F4">
        <w:rPr>
          <w:rFonts w:ascii="Arial" w:eastAsia="Times New Roman" w:hAnsi="Arial" w:cs="Arial"/>
          <w:sz w:val="24"/>
          <w:szCs w:val="24"/>
          <w:lang w:val="es-ES" w:eastAsia="es-ES"/>
        </w:rPr>
        <w:t>La ejecución de estos planes estará a cargo de las áreas competentes de la Dirección General de Tributación, específicamente de las encargadas de la inteligencia tributaria, de la investigación y represión del fraude tributario y de los grandes contribuyentes nacionales.</w:t>
      </w:r>
    </w:p>
    <w:p w14:paraId="7D49ADF3" w14:textId="77777777" w:rsidR="006635F4" w:rsidRPr="006635F4" w:rsidRDefault="006635F4" w:rsidP="006635F4">
      <w:pPr>
        <w:spacing w:after="0" w:line="240" w:lineRule="auto"/>
        <w:jc w:val="both"/>
        <w:rPr>
          <w:rFonts w:ascii="Arial" w:eastAsia="Times New Roman" w:hAnsi="Arial" w:cs="Arial"/>
          <w:b/>
          <w:sz w:val="24"/>
          <w:szCs w:val="24"/>
          <w:lang w:val="es-ES" w:eastAsia="es-ES"/>
        </w:rPr>
      </w:pPr>
    </w:p>
    <w:p w14:paraId="0EA32D01" w14:textId="77777777" w:rsidR="006635F4" w:rsidRPr="006635F4" w:rsidRDefault="00126453" w:rsidP="00E95F83">
      <w:pPr>
        <w:spacing w:after="0" w:line="240" w:lineRule="auto"/>
        <w:ind w:left="705" w:hanging="705"/>
        <w:contextualSpacing/>
        <w:jc w:val="both"/>
        <w:rPr>
          <w:rFonts w:ascii="Arial" w:eastAsia="Times New Roman" w:hAnsi="Arial" w:cs="Arial"/>
          <w:color w:val="000000"/>
          <w:sz w:val="24"/>
          <w:szCs w:val="24"/>
          <w:lang w:val="es-ES" w:eastAsia="es-ES"/>
        </w:rPr>
      </w:pPr>
      <w:r>
        <w:rPr>
          <w:rFonts w:ascii="Arial" w:eastAsia="Times New Roman" w:hAnsi="Arial" w:cs="Arial"/>
          <w:sz w:val="24"/>
          <w:szCs w:val="24"/>
          <w:lang w:val="es-ES" w:eastAsia="es-ES"/>
        </w:rPr>
        <w:t>c)</w:t>
      </w:r>
      <w:r>
        <w:rPr>
          <w:rFonts w:ascii="Arial" w:eastAsia="Times New Roman" w:hAnsi="Arial" w:cs="Arial"/>
          <w:sz w:val="24"/>
          <w:szCs w:val="24"/>
          <w:lang w:val="es-ES" w:eastAsia="es-ES"/>
        </w:rPr>
        <w:tab/>
      </w:r>
      <w:r w:rsidR="006635F4" w:rsidRPr="006635F4">
        <w:rPr>
          <w:rFonts w:ascii="Arial" w:eastAsia="Times New Roman" w:hAnsi="Arial" w:cs="Arial"/>
          <w:sz w:val="24"/>
          <w:szCs w:val="24"/>
          <w:lang w:val="es-ES" w:eastAsia="es-ES"/>
        </w:rPr>
        <w:t xml:space="preserve">Desarrollar inspecciones tributarias relativas a la </w:t>
      </w:r>
      <w:r w:rsidR="006635F4" w:rsidRPr="006635F4">
        <w:rPr>
          <w:rFonts w:ascii="Arial" w:eastAsia="Times New Roman" w:hAnsi="Arial" w:cs="Arial"/>
          <w:color w:val="000000"/>
          <w:sz w:val="24"/>
          <w:szCs w:val="24"/>
          <w:lang w:val="es-ES" w:eastAsia="es-ES"/>
        </w:rPr>
        <w:t>administración, determinación, cobro o verificación de cualquier impuesto, exención, remesa, tasa o gravamen, encargadas</w:t>
      </w:r>
      <w:r w:rsidR="006635F4" w:rsidRPr="006635F4">
        <w:rPr>
          <w:rFonts w:ascii="Arial" w:eastAsia="Times New Roman" w:hAnsi="Arial" w:cs="Arial"/>
          <w:sz w:val="24"/>
          <w:szCs w:val="24"/>
          <w:lang w:val="es-ES" w:eastAsia="es-ES"/>
        </w:rPr>
        <w:t xml:space="preserve"> a funcionarios de las áreas de fiscalización de las administraciones tributarias territoriales, de la Dirección de Grandes Contribuyentes Nacionales y/o de la Dirección de Fiscalización.</w:t>
      </w:r>
    </w:p>
    <w:p w14:paraId="25023E3B" w14:textId="77777777" w:rsidR="006635F4" w:rsidRPr="006635F4" w:rsidRDefault="006635F4" w:rsidP="006635F4">
      <w:pPr>
        <w:spacing w:after="0" w:line="240" w:lineRule="auto"/>
        <w:contextualSpacing/>
        <w:jc w:val="both"/>
        <w:rPr>
          <w:rFonts w:ascii="Arial" w:eastAsia="Times New Roman" w:hAnsi="Arial" w:cs="Arial"/>
          <w:color w:val="000000"/>
          <w:sz w:val="24"/>
          <w:szCs w:val="24"/>
          <w:lang w:val="es-ES" w:eastAsia="es-ES"/>
        </w:rPr>
      </w:pPr>
    </w:p>
    <w:p w14:paraId="621A201E" w14:textId="77777777" w:rsidR="006635F4" w:rsidRPr="006635F4" w:rsidRDefault="00126453" w:rsidP="00E95F83">
      <w:pPr>
        <w:spacing w:after="0" w:line="240" w:lineRule="auto"/>
        <w:ind w:left="705" w:hanging="705"/>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d)</w:t>
      </w:r>
      <w:r>
        <w:rPr>
          <w:rFonts w:ascii="Arial" w:eastAsia="Times New Roman" w:hAnsi="Arial" w:cs="Arial"/>
          <w:color w:val="000000"/>
          <w:sz w:val="24"/>
          <w:szCs w:val="24"/>
          <w:lang w:val="es-ES" w:eastAsia="es-ES"/>
        </w:rPr>
        <w:tab/>
      </w:r>
      <w:r w:rsidR="006635F4" w:rsidRPr="006635F4">
        <w:rPr>
          <w:rFonts w:ascii="Arial" w:eastAsia="Times New Roman" w:hAnsi="Arial" w:cs="Arial"/>
          <w:color w:val="000000"/>
          <w:sz w:val="24"/>
          <w:szCs w:val="24"/>
          <w:lang w:val="es-ES" w:eastAsia="es-ES"/>
        </w:rPr>
        <w:t>Determinar un eventual incumplimiento en materia tributaria, sea este de naturaleza administrativa o penal, incluyendo, entre otros, el incumplimiento en el pago de tributos o de deberes formales, la imposición de sanciones que pudiera resultar en multas o recargos y la potencial comisión de delitos tributarios.</w:t>
      </w:r>
    </w:p>
    <w:p w14:paraId="1F4F1211" w14:textId="77777777" w:rsidR="006635F4" w:rsidRPr="006635F4" w:rsidRDefault="006635F4" w:rsidP="006635F4">
      <w:pPr>
        <w:spacing w:after="0" w:line="240" w:lineRule="auto"/>
        <w:jc w:val="both"/>
        <w:rPr>
          <w:rFonts w:ascii="Arial" w:eastAsia="Times New Roman" w:hAnsi="Arial" w:cs="Arial"/>
          <w:color w:val="000000"/>
          <w:sz w:val="24"/>
          <w:szCs w:val="24"/>
          <w:lang w:val="es-ES" w:eastAsia="es-ES"/>
        </w:rPr>
      </w:pPr>
    </w:p>
    <w:p w14:paraId="3774D09F" w14:textId="77777777" w:rsidR="006635F4" w:rsidRPr="006635F4" w:rsidRDefault="006635F4" w:rsidP="006635F4">
      <w:pPr>
        <w:spacing w:after="0" w:line="240" w:lineRule="auto"/>
        <w:jc w:val="both"/>
        <w:rPr>
          <w:rFonts w:ascii="Arial" w:eastAsia="Times New Roman" w:hAnsi="Arial" w:cs="Arial"/>
          <w:sz w:val="24"/>
          <w:szCs w:val="24"/>
          <w:lang w:val="es-ES" w:eastAsia="es-ES"/>
        </w:rPr>
      </w:pPr>
      <w:r w:rsidRPr="006635F4">
        <w:rPr>
          <w:rFonts w:ascii="Arial" w:eastAsia="Times New Roman" w:hAnsi="Arial" w:cs="Arial"/>
          <w:color w:val="000000"/>
          <w:sz w:val="24"/>
          <w:szCs w:val="24"/>
          <w:lang w:val="es-ES" w:eastAsia="es-ES"/>
        </w:rPr>
        <w:t>En ninguno de los supuestos anteriores se requerirá de evidencias concretas, directas ni determinantes de un incumplimiento de naturaleza penal o administrativa.</w:t>
      </w:r>
    </w:p>
    <w:p w14:paraId="17743151" w14:textId="77777777" w:rsidR="006635F4" w:rsidRPr="006635F4" w:rsidRDefault="006635F4" w:rsidP="006635F4">
      <w:pPr>
        <w:spacing w:after="0" w:line="240" w:lineRule="auto"/>
        <w:jc w:val="both"/>
        <w:rPr>
          <w:rFonts w:ascii="Arial" w:eastAsia="Times New Roman" w:hAnsi="Arial" w:cs="Arial"/>
          <w:b/>
          <w:sz w:val="24"/>
          <w:szCs w:val="24"/>
          <w:lang w:val="es-ES" w:eastAsia="es-ES"/>
        </w:rPr>
      </w:pPr>
    </w:p>
    <w:p w14:paraId="5F94A3D3" w14:textId="77777777" w:rsidR="006635F4" w:rsidRPr="006635F4" w:rsidRDefault="00E95F83" w:rsidP="006635F4">
      <w:pPr>
        <w:spacing w:after="0" w:line="240" w:lineRule="auto"/>
        <w:jc w:val="both"/>
        <w:rPr>
          <w:rFonts w:ascii="Arial" w:eastAsia="Times New Roman" w:hAnsi="Arial" w:cs="Arial"/>
          <w:b/>
          <w:sz w:val="24"/>
          <w:szCs w:val="24"/>
          <w:lang w:val="es-ES" w:eastAsia="es-ES"/>
        </w:rPr>
      </w:pPr>
      <w:r w:rsidRPr="00E95F83">
        <w:rPr>
          <w:rFonts w:ascii="Arial" w:eastAsia="Times New Roman" w:hAnsi="Arial" w:cs="Arial"/>
          <w:sz w:val="24"/>
          <w:szCs w:val="24"/>
          <w:lang w:val="es-ES" w:eastAsia="es-ES"/>
        </w:rPr>
        <w:t>Artículo 106 ter-</w:t>
      </w:r>
      <w:r w:rsidRPr="00E95F83">
        <w:rPr>
          <w:rFonts w:ascii="Arial" w:eastAsia="Times New Roman" w:hAnsi="Arial" w:cs="Arial"/>
          <w:sz w:val="24"/>
          <w:szCs w:val="24"/>
          <w:lang w:val="es-ES" w:eastAsia="es-ES"/>
        </w:rPr>
        <w:tab/>
      </w:r>
      <w:r w:rsidR="006635F4" w:rsidRPr="006635F4">
        <w:rPr>
          <w:rFonts w:ascii="Arial" w:eastAsia="Times New Roman" w:hAnsi="Arial" w:cs="Arial"/>
          <w:sz w:val="24"/>
          <w:szCs w:val="24"/>
          <w:lang w:val="es-ES" w:eastAsia="es-ES"/>
        </w:rPr>
        <w:t xml:space="preserve">Procedimiento para requerir información en poder de entidades financieras. </w:t>
      </w:r>
      <w:r>
        <w:rPr>
          <w:rFonts w:ascii="Arial" w:eastAsia="Times New Roman" w:hAnsi="Arial" w:cs="Arial"/>
          <w:color w:val="000000"/>
          <w:sz w:val="24"/>
          <w:szCs w:val="24"/>
          <w:lang w:val="es-ES" w:eastAsia="es-ES"/>
        </w:rPr>
        <w:t xml:space="preserve"> </w:t>
      </w:r>
      <w:r w:rsidR="006635F4" w:rsidRPr="006635F4">
        <w:rPr>
          <w:rFonts w:ascii="Arial" w:eastAsia="Times New Roman" w:hAnsi="Arial" w:cs="Arial"/>
          <w:color w:val="000000"/>
          <w:sz w:val="24"/>
          <w:szCs w:val="24"/>
          <w:lang w:val="es-ES" w:eastAsia="es-ES"/>
        </w:rPr>
        <w:t>Las entidades financieras y cualquier otra entidad que sin ser catalogada como tal efectúe algún tipo de actividad financiera, deberán suministrar a la Administración Tributaria toda información de sus clientes que sea previsiblemente pertinente para efectos tributarios según lo dispuesto en el artículo 106 bis de este Código.</w:t>
      </w:r>
    </w:p>
    <w:p w14:paraId="645DC6B8" w14:textId="77777777" w:rsidR="006635F4" w:rsidRPr="006635F4" w:rsidRDefault="006635F4" w:rsidP="006635F4">
      <w:pPr>
        <w:spacing w:after="0" w:line="240" w:lineRule="auto"/>
        <w:jc w:val="both"/>
        <w:rPr>
          <w:rFonts w:ascii="Arial" w:eastAsia="Times New Roman" w:hAnsi="Arial" w:cs="Arial"/>
          <w:sz w:val="24"/>
          <w:szCs w:val="24"/>
          <w:lang w:val="es-ES" w:eastAsia="es-ES"/>
        </w:rPr>
      </w:pPr>
    </w:p>
    <w:p w14:paraId="7C9D5E5A" w14:textId="77777777" w:rsidR="006635F4" w:rsidRPr="006635F4" w:rsidRDefault="006635F4" w:rsidP="006635F4">
      <w:pPr>
        <w:spacing w:after="0" w:line="240" w:lineRule="auto"/>
        <w:jc w:val="both"/>
        <w:rPr>
          <w:rFonts w:ascii="Arial" w:eastAsia="Times New Roman" w:hAnsi="Arial" w:cs="Arial"/>
          <w:sz w:val="24"/>
          <w:szCs w:val="24"/>
          <w:lang w:val="es-ES" w:eastAsia="es-ES"/>
        </w:rPr>
      </w:pPr>
      <w:r w:rsidRPr="006635F4">
        <w:rPr>
          <w:rFonts w:ascii="Arial" w:eastAsia="Times New Roman" w:hAnsi="Arial" w:cs="Arial"/>
          <w:sz w:val="24"/>
          <w:szCs w:val="24"/>
          <w:lang w:val="es-ES" w:eastAsia="es-ES"/>
        </w:rPr>
        <w:t xml:space="preserve">La Administración Tributaria realizará requerimientos individualizados para obtener aquella información que sea previsiblemente pertinente para efectos tributarios y que esté en poder de entidades financieras. </w:t>
      </w:r>
      <w:r w:rsidR="00E95F83">
        <w:rPr>
          <w:rFonts w:ascii="Arial" w:eastAsia="Times New Roman" w:hAnsi="Arial" w:cs="Arial"/>
          <w:sz w:val="24"/>
          <w:szCs w:val="24"/>
          <w:lang w:val="es-ES" w:eastAsia="es-ES"/>
        </w:rPr>
        <w:t xml:space="preserve"> </w:t>
      </w:r>
      <w:r w:rsidRPr="006635F4">
        <w:rPr>
          <w:rFonts w:ascii="Arial" w:eastAsia="Times New Roman" w:hAnsi="Arial" w:cs="Arial"/>
          <w:sz w:val="24"/>
          <w:szCs w:val="24"/>
          <w:lang w:val="es-ES" w:eastAsia="es-ES"/>
        </w:rPr>
        <w:t>Los requerimientos de información serán firmados por el director general de Tributación y deberá contener la siguiente información:</w:t>
      </w:r>
    </w:p>
    <w:p w14:paraId="3C3996E9" w14:textId="77777777" w:rsidR="006635F4" w:rsidRPr="006635F4" w:rsidRDefault="006635F4" w:rsidP="006635F4">
      <w:pPr>
        <w:spacing w:after="0" w:line="240" w:lineRule="auto"/>
        <w:jc w:val="both"/>
        <w:rPr>
          <w:rFonts w:ascii="Arial" w:eastAsia="Times New Roman" w:hAnsi="Arial" w:cs="Arial"/>
          <w:sz w:val="24"/>
          <w:szCs w:val="24"/>
          <w:lang w:val="es-ES" w:eastAsia="es-ES"/>
        </w:rPr>
      </w:pPr>
    </w:p>
    <w:p w14:paraId="085F37FF" w14:textId="77777777" w:rsidR="006635F4" w:rsidRPr="006635F4" w:rsidRDefault="00E95F83" w:rsidP="00E95F83">
      <w:pPr>
        <w:spacing w:after="0" w:line="240" w:lineRule="auto"/>
        <w:ind w:left="705" w:hanging="705"/>
        <w:contextualSpacing/>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w:t>
      </w:r>
      <w:r>
        <w:rPr>
          <w:rFonts w:ascii="Arial" w:eastAsia="Times New Roman" w:hAnsi="Arial" w:cs="Arial"/>
          <w:sz w:val="24"/>
          <w:szCs w:val="24"/>
          <w:lang w:val="es-ES" w:eastAsia="es-ES"/>
        </w:rPr>
        <w:tab/>
      </w:r>
      <w:r w:rsidR="006635F4" w:rsidRPr="006635F4">
        <w:rPr>
          <w:rFonts w:ascii="Arial" w:eastAsia="Times New Roman" w:hAnsi="Arial" w:cs="Arial"/>
          <w:sz w:val="24"/>
          <w:szCs w:val="24"/>
          <w:lang w:val="es-ES" w:eastAsia="es-ES"/>
        </w:rPr>
        <w:t>Identidad de la persona sobre la cual se requiere información, incluyendo cualquier otro dato identificativo que se conozca, tal y como su domicilio, fecha de nacimiento y otros.</w:t>
      </w:r>
    </w:p>
    <w:p w14:paraId="47F3F2D3" w14:textId="77777777" w:rsidR="006635F4" w:rsidRPr="006635F4" w:rsidRDefault="006635F4" w:rsidP="006635F4">
      <w:pPr>
        <w:spacing w:after="0" w:line="240" w:lineRule="auto"/>
        <w:contextualSpacing/>
        <w:jc w:val="both"/>
        <w:rPr>
          <w:rFonts w:ascii="Arial" w:eastAsia="Times New Roman" w:hAnsi="Arial" w:cs="Arial"/>
          <w:sz w:val="24"/>
          <w:szCs w:val="24"/>
          <w:lang w:val="es-ES" w:eastAsia="es-ES"/>
        </w:rPr>
      </w:pPr>
    </w:p>
    <w:p w14:paraId="74B7638A" w14:textId="77777777" w:rsidR="006635F4" w:rsidRPr="006635F4" w:rsidRDefault="00E95F83" w:rsidP="00E95F83">
      <w:pPr>
        <w:spacing w:after="0" w:line="240" w:lineRule="auto"/>
        <w:ind w:left="705" w:hanging="705"/>
        <w:contextualSpacing/>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b)</w:t>
      </w:r>
      <w:r>
        <w:rPr>
          <w:rFonts w:ascii="Arial" w:eastAsia="Times New Roman" w:hAnsi="Arial" w:cs="Arial"/>
          <w:sz w:val="24"/>
          <w:szCs w:val="24"/>
          <w:lang w:val="es-ES" w:eastAsia="es-ES"/>
        </w:rPr>
        <w:tab/>
      </w:r>
      <w:r w:rsidR="006635F4" w:rsidRPr="006635F4">
        <w:rPr>
          <w:rFonts w:ascii="Arial" w:eastAsia="Times New Roman" w:hAnsi="Arial" w:cs="Arial"/>
          <w:sz w:val="24"/>
          <w:szCs w:val="24"/>
          <w:lang w:val="es-ES" w:eastAsia="es-ES"/>
        </w:rPr>
        <w:t>Detalle de la información requerida, incluyendo el período sobre el cual se solicita, su naturaleza y la forma en que la Administración Tributaria desea recibirla.</w:t>
      </w:r>
    </w:p>
    <w:p w14:paraId="3A728BA3" w14:textId="77777777" w:rsidR="006635F4" w:rsidRPr="006635F4" w:rsidRDefault="006635F4" w:rsidP="006635F4">
      <w:pPr>
        <w:spacing w:after="0" w:line="240" w:lineRule="auto"/>
        <w:jc w:val="both"/>
        <w:rPr>
          <w:rFonts w:ascii="Arial" w:eastAsia="Times New Roman" w:hAnsi="Arial" w:cs="Arial"/>
          <w:sz w:val="24"/>
          <w:szCs w:val="24"/>
          <w:lang w:val="es-ES" w:eastAsia="es-ES"/>
        </w:rPr>
      </w:pPr>
    </w:p>
    <w:p w14:paraId="5763B246" w14:textId="77777777" w:rsidR="006635F4" w:rsidRPr="006635F4" w:rsidRDefault="00E95F83" w:rsidP="00E95F83">
      <w:pPr>
        <w:spacing w:after="0" w:line="240" w:lineRule="auto"/>
        <w:ind w:left="705" w:hanging="705"/>
        <w:contextualSpacing/>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c)</w:t>
      </w:r>
      <w:r>
        <w:rPr>
          <w:rFonts w:ascii="Arial" w:eastAsia="Times New Roman" w:hAnsi="Arial" w:cs="Arial"/>
          <w:sz w:val="24"/>
          <w:szCs w:val="24"/>
          <w:lang w:val="es-ES" w:eastAsia="es-ES"/>
        </w:rPr>
        <w:tab/>
      </w:r>
      <w:r w:rsidR="006635F4" w:rsidRPr="006635F4">
        <w:rPr>
          <w:rFonts w:ascii="Arial" w:eastAsia="Times New Roman" w:hAnsi="Arial" w:cs="Arial"/>
          <w:sz w:val="24"/>
          <w:szCs w:val="24"/>
          <w:lang w:val="es-ES" w:eastAsia="es-ES"/>
        </w:rPr>
        <w:t xml:space="preserve">Indicación del fin para el cual la Administración Tributaria requiere la información en poder de entidades financieras y su relevancia en el </w:t>
      </w:r>
      <w:proofErr w:type="gramStart"/>
      <w:r w:rsidR="006635F4" w:rsidRPr="006635F4">
        <w:rPr>
          <w:rFonts w:ascii="Arial" w:eastAsia="Times New Roman" w:hAnsi="Arial" w:cs="Arial"/>
          <w:sz w:val="24"/>
          <w:szCs w:val="24"/>
          <w:lang w:val="es-ES" w:eastAsia="es-ES"/>
        </w:rPr>
        <w:t>ámbito  pertinente</w:t>
      </w:r>
      <w:proofErr w:type="gramEnd"/>
      <w:r w:rsidR="006635F4" w:rsidRPr="006635F4">
        <w:rPr>
          <w:rFonts w:ascii="Arial" w:eastAsia="Times New Roman" w:hAnsi="Arial" w:cs="Arial"/>
          <w:sz w:val="24"/>
          <w:szCs w:val="24"/>
          <w:lang w:val="es-ES" w:eastAsia="es-ES"/>
        </w:rPr>
        <w:t xml:space="preserve"> para efectos tributarios.</w:t>
      </w:r>
    </w:p>
    <w:p w14:paraId="26BAFAE7" w14:textId="77777777" w:rsidR="006635F4" w:rsidRPr="006635F4" w:rsidRDefault="006635F4" w:rsidP="006635F4">
      <w:pPr>
        <w:spacing w:after="0" w:line="240" w:lineRule="auto"/>
        <w:jc w:val="both"/>
        <w:rPr>
          <w:rFonts w:ascii="Arial" w:eastAsia="Times New Roman" w:hAnsi="Arial" w:cs="Arial"/>
          <w:sz w:val="24"/>
          <w:szCs w:val="24"/>
          <w:lang w:val="es-ES" w:eastAsia="es-ES"/>
        </w:rPr>
      </w:pPr>
    </w:p>
    <w:p w14:paraId="6E3830BA" w14:textId="77777777" w:rsidR="006635F4" w:rsidRPr="006635F4" w:rsidRDefault="006635F4" w:rsidP="006635F4">
      <w:pPr>
        <w:spacing w:after="0" w:line="240" w:lineRule="auto"/>
        <w:jc w:val="both"/>
        <w:rPr>
          <w:rFonts w:ascii="Arial" w:eastAsia="Times New Roman" w:hAnsi="Arial" w:cs="Arial"/>
          <w:color w:val="000000"/>
          <w:sz w:val="24"/>
          <w:szCs w:val="24"/>
          <w:lang w:val="es-ES" w:eastAsia="es-ES"/>
        </w:rPr>
      </w:pPr>
      <w:r w:rsidRPr="006635F4">
        <w:rPr>
          <w:rFonts w:ascii="Arial" w:eastAsia="Times New Roman" w:hAnsi="Arial" w:cs="Arial"/>
          <w:color w:val="000000"/>
          <w:sz w:val="24"/>
          <w:szCs w:val="24"/>
          <w:lang w:val="es-ES" w:eastAsia="es-ES"/>
        </w:rPr>
        <w:lastRenderedPageBreak/>
        <w:t xml:space="preserve">En el requerimiento de información que se presente a la entidad financiera deberá omitirse cualquier detalle sobre los hechos o las circunstancias que originen la investigación o el proceso de fiscalización y que pudieran violentar la confidencialidad de la persona sobre quien se requiera la información </w:t>
      </w:r>
      <w:r w:rsidR="00E95F83">
        <w:rPr>
          <w:rFonts w:ascii="Arial" w:eastAsia="Times New Roman" w:hAnsi="Arial" w:cs="Arial"/>
          <w:color w:val="000000"/>
          <w:sz w:val="24"/>
          <w:szCs w:val="24"/>
          <w:lang w:val="es-ES" w:eastAsia="es-ES"/>
        </w:rPr>
        <w:t>frente a la entidad financiera.</w:t>
      </w:r>
    </w:p>
    <w:p w14:paraId="7CB25457" w14:textId="77777777" w:rsidR="006635F4" w:rsidRPr="006635F4" w:rsidRDefault="006635F4" w:rsidP="006635F4">
      <w:pPr>
        <w:spacing w:after="0" w:line="240" w:lineRule="auto"/>
        <w:jc w:val="both"/>
        <w:rPr>
          <w:rFonts w:ascii="Arial" w:eastAsia="Times New Roman" w:hAnsi="Arial" w:cs="Arial"/>
          <w:sz w:val="24"/>
          <w:szCs w:val="24"/>
          <w:lang w:val="es-ES" w:eastAsia="es-ES"/>
        </w:rPr>
      </w:pPr>
    </w:p>
    <w:p w14:paraId="605A88B6" w14:textId="77777777" w:rsidR="006635F4" w:rsidRPr="006635F4" w:rsidRDefault="006635F4" w:rsidP="006635F4">
      <w:pPr>
        <w:spacing w:after="0" w:line="240" w:lineRule="auto"/>
        <w:jc w:val="both"/>
        <w:rPr>
          <w:rFonts w:ascii="Arial" w:eastAsia="Times New Roman" w:hAnsi="Arial" w:cs="Arial"/>
          <w:color w:val="000000"/>
          <w:sz w:val="24"/>
          <w:szCs w:val="24"/>
          <w:lang w:val="es-ES" w:eastAsia="es-ES"/>
        </w:rPr>
      </w:pPr>
      <w:r w:rsidRPr="006635F4">
        <w:rPr>
          <w:rFonts w:ascii="Arial" w:eastAsia="Times New Roman" w:hAnsi="Arial" w:cs="Arial"/>
          <w:color w:val="000000"/>
          <w:sz w:val="24"/>
          <w:szCs w:val="24"/>
          <w:lang w:val="es-ES" w:eastAsia="es-ES"/>
        </w:rPr>
        <w:t>La entidad financiera deberá suministrar la información solicitada por la Administración Tributaria en un plazo</w:t>
      </w:r>
      <w:r w:rsidR="00E95F83">
        <w:rPr>
          <w:rFonts w:ascii="Arial" w:eastAsia="Times New Roman" w:hAnsi="Arial" w:cs="Arial"/>
          <w:color w:val="000000"/>
          <w:sz w:val="24"/>
          <w:szCs w:val="24"/>
          <w:lang w:val="es-ES" w:eastAsia="es-ES"/>
        </w:rPr>
        <w:t xml:space="preserve"> no mayor de diez días hábiles.</w:t>
      </w:r>
    </w:p>
    <w:p w14:paraId="0C3B98BE" w14:textId="77777777" w:rsidR="006635F4" w:rsidRPr="006635F4" w:rsidRDefault="006635F4" w:rsidP="006635F4">
      <w:pPr>
        <w:spacing w:after="0" w:line="240" w:lineRule="auto"/>
        <w:jc w:val="both"/>
        <w:rPr>
          <w:rFonts w:ascii="Arial" w:eastAsia="Times New Roman" w:hAnsi="Arial" w:cs="Arial"/>
          <w:sz w:val="24"/>
          <w:szCs w:val="24"/>
          <w:lang w:val="es-ES" w:eastAsia="es-ES"/>
        </w:rPr>
      </w:pPr>
    </w:p>
    <w:p w14:paraId="655F76B4" w14:textId="77777777" w:rsidR="006635F4" w:rsidRPr="006635F4" w:rsidRDefault="006635F4" w:rsidP="006635F4">
      <w:pPr>
        <w:spacing w:after="0" w:line="240" w:lineRule="auto"/>
        <w:jc w:val="both"/>
        <w:rPr>
          <w:rFonts w:ascii="Arial" w:eastAsia="Times New Roman" w:hAnsi="Arial" w:cs="Arial"/>
          <w:sz w:val="24"/>
          <w:szCs w:val="24"/>
          <w:lang w:val="es-ES" w:eastAsia="es-ES"/>
        </w:rPr>
      </w:pPr>
      <w:r w:rsidRPr="006635F4">
        <w:rPr>
          <w:rFonts w:ascii="Arial" w:eastAsia="Times New Roman" w:hAnsi="Arial" w:cs="Arial"/>
          <w:sz w:val="24"/>
          <w:szCs w:val="24"/>
          <w:lang w:val="es-ES" w:eastAsia="es-ES"/>
        </w:rPr>
        <w:t>Para la ejecución de las facultades contenidas en el presente artículo no se requerirá el procedimiento de autorización judicial alguno, ni la autorización establecida en el artículo 615 del Código de Comercio.</w:t>
      </w:r>
    </w:p>
    <w:p w14:paraId="1A59D4C0" w14:textId="77777777" w:rsidR="006635F4" w:rsidRPr="006635F4" w:rsidRDefault="006635F4" w:rsidP="006635F4">
      <w:pPr>
        <w:spacing w:after="0" w:line="240" w:lineRule="auto"/>
        <w:jc w:val="both"/>
        <w:rPr>
          <w:rFonts w:ascii="Arial" w:eastAsia="Times New Roman" w:hAnsi="Arial" w:cs="Arial"/>
          <w:sz w:val="24"/>
          <w:szCs w:val="24"/>
          <w:lang w:val="es-ES" w:eastAsia="es-ES"/>
        </w:rPr>
      </w:pPr>
    </w:p>
    <w:p w14:paraId="034378CF" w14:textId="77777777" w:rsidR="006635F4" w:rsidRPr="006635F4" w:rsidRDefault="006635F4" w:rsidP="006635F4">
      <w:pPr>
        <w:spacing w:after="0" w:line="240" w:lineRule="auto"/>
        <w:jc w:val="both"/>
        <w:rPr>
          <w:rFonts w:ascii="Arial" w:eastAsia="Times New Roman" w:hAnsi="Arial" w:cs="Arial"/>
          <w:color w:val="000000"/>
          <w:sz w:val="24"/>
          <w:szCs w:val="24"/>
          <w:lang w:val="es-ES" w:eastAsia="es-ES"/>
        </w:rPr>
      </w:pPr>
      <w:r w:rsidRPr="006635F4">
        <w:rPr>
          <w:rFonts w:ascii="Arial" w:eastAsia="Times New Roman" w:hAnsi="Arial" w:cs="Arial"/>
          <w:color w:val="000000"/>
          <w:sz w:val="24"/>
          <w:szCs w:val="24"/>
          <w:lang w:val="es-ES" w:eastAsia="es-ES"/>
        </w:rPr>
        <w:t xml:space="preserve">En caso de que las entidades financieras incumplan con el suministro de información dispuesto en este artículo, se aplicará una sanción equivalente a una multa pecuniaria proporcional del dos por ciento (2%) de la cifra de ingresos brutos del sujeto infractor, en el período del impuesto sobre las utilidades anterior a aquel en que se produjo la infracción, con un mínimo de tres salarios base y un máximo de cien salarios base. </w:t>
      </w:r>
      <w:r w:rsidR="00E95F83">
        <w:rPr>
          <w:rFonts w:ascii="Arial" w:eastAsia="Times New Roman" w:hAnsi="Arial" w:cs="Arial"/>
          <w:color w:val="000000"/>
          <w:sz w:val="24"/>
          <w:szCs w:val="24"/>
          <w:lang w:val="es-ES" w:eastAsia="es-ES"/>
        </w:rPr>
        <w:t xml:space="preserve"> </w:t>
      </w:r>
      <w:r w:rsidRPr="006635F4">
        <w:rPr>
          <w:rFonts w:ascii="Arial" w:eastAsia="Times New Roman" w:hAnsi="Arial" w:cs="Arial"/>
          <w:color w:val="000000"/>
          <w:sz w:val="24"/>
          <w:szCs w:val="24"/>
          <w:lang w:val="es-ES" w:eastAsia="es-ES"/>
        </w:rPr>
        <w:t xml:space="preserve">Si el obligado suministrare la información dentro de los tres días siguientes al vencimiento del plazo conferido por la Administración, la multa pecuniaria establecida en este inciso se reducirá en un setenta y cinco por ciento (75%). </w:t>
      </w:r>
      <w:r w:rsidR="00E95F83">
        <w:rPr>
          <w:rFonts w:ascii="Arial" w:eastAsia="Times New Roman" w:hAnsi="Arial" w:cs="Arial"/>
          <w:color w:val="000000"/>
          <w:sz w:val="24"/>
          <w:szCs w:val="24"/>
          <w:lang w:val="es-ES" w:eastAsia="es-ES"/>
        </w:rPr>
        <w:t xml:space="preserve"> </w:t>
      </w:r>
      <w:r w:rsidRPr="006635F4">
        <w:rPr>
          <w:rFonts w:ascii="Arial" w:eastAsia="Times New Roman" w:hAnsi="Arial" w:cs="Arial"/>
          <w:color w:val="000000"/>
          <w:sz w:val="24"/>
          <w:szCs w:val="24"/>
          <w:lang w:val="es-ES" w:eastAsia="es-ES"/>
        </w:rPr>
        <w:t>La Administración Tributaria se encuentra facultada para no aplicar la presente sanción cuando se esté en presencia de un hecho considerado como caso fortuito o fuerza mayor y así sea debidamente demostrado.</w:t>
      </w:r>
    </w:p>
    <w:p w14:paraId="4E7E535F" w14:textId="77777777" w:rsidR="006635F4" w:rsidRPr="006635F4" w:rsidRDefault="006635F4" w:rsidP="006635F4">
      <w:pPr>
        <w:spacing w:after="0" w:line="240" w:lineRule="auto"/>
        <w:jc w:val="both"/>
        <w:rPr>
          <w:rFonts w:ascii="Arial" w:eastAsia="Times New Roman" w:hAnsi="Arial" w:cs="Arial"/>
          <w:color w:val="000000"/>
          <w:sz w:val="24"/>
          <w:szCs w:val="24"/>
          <w:lang w:val="es-ES" w:eastAsia="es-ES"/>
        </w:rPr>
      </w:pPr>
    </w:p>
    <w:p w14:paraId="5F5149DD" w14:textId="77777777" w:rsidR="006635F4" w:rsidRPr="006635F4" w:rsidRDefault="006635F4" w:rsidP="006635F4">
      <w:pPr>
        <w:spacing w:after="0" w:line="240" w:lineRule="auto"/>
        <w:jc w:val="both"/>
        <w:rPr>
          <w:rFonts w:ascii="Arial" w:eastAsia="Times New Roman" w:hAnsi="Arial" w:cs="Arial"/>
          <w:color w:val="000000"/>
          <w:sz w:val="24"/>
          <w:szCs w:val="24"/>
          <w:lang w:val="es-ES" w:eastAsia="es-ES"/>
        </w:rPr>
      </w:pPr>
      <w:r w:rsidRPr="006635F4">
        <w:rPr>
          <w:rFonts w:ascii="Arial" w:eastAsia="Times New Roman" w:hAnsi="Arial" w:cs="Arial"/>
          <w:color w:val="000000"/>
          <w:sz w:val="24"/>
          <w:szCs w:val="24"/>
          <w:lang w:val="es-ES" w:eastAsia="es-ES"/>
        </w:rPr>
        <w:t xml:space="preserve">Toda la información recabada mediante el procedimiento establecido en este artículo será manejada de manera confidencial, de conformidad con lo estipulado en el artículo 117 de este Código. </w:t>
      </w:r>
      <w:r w:rsidR="00E95F83">
        <w:rPr>
          <w:rFonts w:ascii="Arial" w:eastAsia="Times New Roman" w:hAnsi="Arial" w:cs="Arial"/>
          <w:color w:val="000000"/>
          <w:sz w:val="24"/>
          <w:szCs w:val="24"/>
          <w:lang w:val="es-ES" w:eastAsia="es-ES"/>
        </w:rPr>
        <w:t xml:space="preserve"> </w:t>
      </w:r>
      <w:r w:rsidRPr="006635F4">
        <w:rPr>
          <w:rFonts w:ascii="Arial" w:eastAsia="Times New Roman" w:hAnsi="Arial" w:cs="Arial"/>
          <w:color w:val="000000"/>
          <w:sz w:val="24"/>
          <w:szCs w:val="24"/>
          <w:lang w:val="es-ES" w:eastAsia="es-ES"/>
        </w:rPr>
        <w:t>Los mecanismos necesarios para garantizar la correcta gestión de la información recibida y asegurar su adecuado archivo, custodia y uso, así como la individualización de los funcionarios responsables del manejo de la información, serán establecidos reglamentariamente.</w:t>
      </w:r>
    </w:p>
    <w:p w14:paraId="4C8B98C6" w14:textId="77777777" w:rsidR="006635F4" w:rsidRPr="006635F4" w:rsidRDefault="006635F4" w:rsidP="006635F4">
      <w:pPr>
        <w:spacing w:after="0" w:line="240" w:lineRule="auto"/>
        <w:jc w:val="both"/>
        <w:rPr>
          <w:rFonts w:ascii="Arial" w:eastAsia="Times New Roman" w:hAnsi="Arial" w:cs="Arial"/>
          <w:color w:val="000000"/>
          <w:sz w:val="24"/>
          <w:szCs w:val="24"/>
          <w:lang w:val="es-ES" w:eastAsia="es-ES"/>
        </w:rPr>
      </w:pPr>
    </w:p>
    <w:p w14:paraId="2270B694" w14:textId="77777777" w:rsidR="006635F4" w:rsidRPr="006635F4" w:rsidRDefault="006635F4" w:rsidP="006635F4">
      <w:pPr>
        <w:spacing w:after="0" w:line="240" w:lineRule="auto"/>
        <w:jc w:val="both"/>
        <w:rPr>
          <w:rFonts w:ascii="Arial" w:eastAsia="Times New Roman" w:hAnsi="Arial" w:cs="Arial"/>
          <w:color w:val="000000"/>
          <w:sz w:val="24"/>
          <w:szCs w:val="24"/>
          <w:lang w:val="es-ES" w:eastAsia="es-ES"/>
        </w:rPr>
      </w:pPr>
      <w:r w:rsidRPr="006635F4">
        <w:rPr>
          <w:rFonts w:ascii="Arial" w:eastAsia="Times New Roman" w:hAnsi="Arial" w:cs="Arial"/>
          <w:color w:val="000000"/>
          <w:sz w:val="24"/>
          <w:szCs w:val="24"/>
          <w:lang w:val="es-ES" w:eastAsia="es-ES"/>
        </w:rPr>
        <w:t>Se exceptúa de este procedimiento toda aquella información relacionada con los avalúos y peritajes que las entidades financieras deban realizar para autorizar préstamos a sus clientes.</w:t>
      </w:r>
      <w:r w:rsidR="00E95F83">
        <w:rPr>
          <w:rFonts w:ascii="Arial" w:eastAsia="Times New Roman" w:hAnsi="Arial" w:cs="Arial"/>
          <w:color w:val="000000"/>
          <w:sz w:val="24"/>
          <w:szCs w:val="24"/>
          <w:lang w:val="es-ES" w:eastAsia="es-ES"/>
        </w:rPr>
        <w:t xml:space="preserve">  </w:t>
      </w:r>
      <w:r w:rsidRPr="006635F4">
        <w:rPr>
          <w:rFonts w:ascii="Arial" w:eastAsia="Times New Roman" w:hAnsi="Arial" w:cs="Arial"/>
          <w:color w:val="000000"/>
          <w:sz w:val="24"/>
          <w:szCs w:val="24"/>
          <w:lang w:val="es-ES" w:eastAsia="es-ES"/>
        </w:rPr>
        <w:t xml:space="preserve">Dicha información será considerada previsiblemente pertinente para efectos tributarios y podrá ser solicitada por medio de requerimientos de información amparados en el artículo 105 de este Código. </w:t>
      </w:r>
      <w:r w:rsidR="00E95F83">
        <w:rPr>
          <w:rFonts w:ascii="Arial" w:eastAsia="Times New Roman" w:hAnsi="Arial" w:cs="Arial"/>
          <w:color w:val="000000"/>
          <w:sz w:val="24"/>
          <w:szCs w:val="24"/>
          <w:lang w:val="es-ES" w:eastAsia="es-ES"/>
        </w:rPr>
        <w:t xml:space="preserve"> </w:t>
      </w:r>
      <w:r w:rsidRPr="006635F4">
        <w:rPr>
          <w:rFonts w:ascii="Arial" w:eastAsia="Times New Roman" w:hAnsi="Arial" w:cs="Arial"/>
          <w:color w:val="000000"/>
          <w:sz w:val="24"/>
          <w:szCs w:val="24"/>
          <w:lang w:val="es-ES" w:eastAsia="es-ES"/>
        </w:rPr>
        <w:t>En estos supuestos, la entidad financiera deberá informar al cliente que la información ha sido solicitada.</w:t>
      </w:r>
    </w:p>
    <w:p w14:paraId="59190CA7" w14:textId="77777777" w:rsidR="006635F4" w:rsidRPr="006635F4" w:rsidRDefault="006635F4" w:rsidP="006635F4">
      <w:pPr>
        <w:spacing w:after="0" w:line="240" w:lineRule="auto"/>
        <w:jc w:val="both"/>
        <w:rPr>
          <w:rFonts w:ascii="Arial" w:eastAsia="Times New Roman" w:hAnsi="Arial" w:cs="Arial"/>
          <w:sz w:val="24"/>
          <w:szCs w:val="24"/>
          <w:lang w:val="es-ES" w:eastAsia="es-ES"/>
        </w:rPr>
      </w:pPr>
    </w:p>
    <w:p w14:paraId="3107480C" w14:textId="77777777" w:rsidR="006635F4" w:rsidRPr="006635F4" w:rsidRDefault="006635F4" w:rsidP="006635F4">
      <w:pPr>
        <w:spacing w:after="0" w:line="240" w:lineRule="auto"/>
        <w:jc w:val="both"/>
        <w:rPr>
          <w:rFonts w:ascii="Arial" w:eastAsia="Times New Roman" w:hAnsi="Arial" w:cs="Arial"/>
          <w:sz w:val="24"/>
          <w:szCs w:val="24"/>
          <w:lang w:val="es-ES" w:eastAsia="es-ES"/>
        </w:rPr>
      </w:pPr>
    </w:p>
    <w:p w14:paraId="7F63C4FB" w14:textId="77777777" w:rsidR="00E95F83" w:rsidRDefault="00E95F83" w:rsidP="006635F4">
      <w:pPr>
        <w:spacing w:after="0" w:line="240" w:lineRule="auto"/>
        <w:jc w:val="both"/>
        <w:rPr>
          <w:rFonts w:ascii="Arial" w:eastAsia="Times New Roman" w:hAnsi="Arial" w:cs="Arial"/>
          <w:sz w:val="24"/>
          <w:szCs w:val="24"/>
          <w:lang w:val="es-ES" w:eastAsia="es-ES"/>
        </w:rPr>
      </w:pPr>
    </w:p>
    <w:p w14:paraId="3188BC1C" w14:textId="77777777" w:rsidR="00E95F83" w:rsidRDefault="00E95F83" w:rsidP="006635F4">
      <w:pPr>
        <w:spacing w:after="0" w:line="240" w:lineRule="auto"/>
        <w:jc w:val="both"/>
        <w:rPr>
          <w:rFonts w:ascii="Arial" w:eastAsia="Times New Roman" w:hAnsi="Arial" w:cs="Arial"/>
          <w:sz w:val="24"/>
          <w:szCs w:val="24"/>
          <w:lang w:val="es-ES" w:eastAsia="es-ES"/>
        </w:rPr>
      </w:pPr>
    </w:p>
    <w:p w14:paraId="65A53970" w14:textId="77777777" w:rsidR="006635F4" w:rsidRPr="006635F4" w:rsidRDefault="006635F4" w:rsidP="006635F4">
      <w:pPr>
        <w:spacing w:after="0" w:line="240" w:lineRule="auto"/>
        <w:jc w:val="both"/>
        <w:rPr>
          <w:rFonts w:ascii="Arial" w:eastAsia="Times New Roman" w:hAnsi="Arial" w:cs="Arial"/>
          <w:sz w:val="24"/>
          <w:szCs w:val="24"/>
          <w:lang w:val="es-ES" w:eastAsia="es-ES"/>
        </w:rPr>
      </w:pPr>
      <w:r w:rsidRPr="006635F4">
        <w:rPr>
          <w:rFonts w:ascii="Arial" w:eastAsia="Times New Roman" w:hAnsi="Arial" w:cs="Arial"/>
          <w:sz w:val="24"/>
          <w:szCs w:val="24"/>
          <w:lang w:val="es-ES" w:eastAsia="es-ES"/>
        </w:rPr>
        <w:t>Rige a partir de su publicación.</w:t>
      </w:r>
    </w:p>
    <w:p w14:paraId="0E997188" w14:textId="77777777" w:rsidR="006635F4" w:rsidRDefault="006635F4" w:rsidP="006635F4">
      <w:pPr>
        <w:spacing w:after="0" w:line="240" w:lineRule="auto"/>
        <w:rPr>
          <w:rFonts w:ascii="Arial" w:eastAsia="Times New Roman" w:hAnsi="Arial" w:cs="Arial"/>
          <w:sz w:val="24"/>
          <w:szCs w:val="24"/>
          <w:lang w:val="es-ES" w:eastAsia="es-ES"/>
        </w:rPr>
      </w:pPr>
    </w:p>
    <w:p w14:paraId="2FA51AD7" w14:textId="77777777" w:rsidR="00E95F83" w:rsidRDefault="00E95F83" w:rsidP="006635F4">
      <w:pPr>
        <w:spacing w:after="0" w:line="240" w:lineRule="auto"/>
        <w:rPr>
          <w:rFonts w:ascii="Arial" w:eastAsia="Times New Roman" w:hAnsi="Arial" w:cs="Arial"/>
          <w:sz w:val="24"/>
          <w:szCs w:val="24"/>
          <w:lang w:val="es-ES" w:eastAsia="es-ES"/>
        </w:rPr>
      </w:pPr>
    </w:p>
    <w:p w14:paraId="6C0378ED" w14:textId="77777777" w:rsidR="00E95F83" w:rsidRDefault="00E95F83" w:rsidP="006635F4">
      <w:pPr>
        <w:spacing w:after="0" w:line="240" w:lineRule="auto"/>
        <w:rPr>
          <w:rFonts w:ascii="Arial" w:eastAsia="Times New Roman" w:hAnsi="Arial" w:cs="Arial"/>
          <w:sz w:val="24"/>
          <w:szCs w:val="24"/>
          <w:lang w:val="es-ES" w:eastAsia="es-ES"/>
        </w:rPr>
      </w:pPr>
    </w:p>
    <w:p w14:paraId="5C431F98" w14:textId="77777777" w:rsidR="00D41426" w:rsidRDefault="00D41426" w:rsidP="006635F4">
      <w:pPr>
        <w:spacing w:after="0" w:line="240"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lastRenderedPageBreak/>
        <w:t>Víctor Manuel Morales Mora</w:t>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t>Mario Castillo Méndez</w:t>
      </w:r>
    </w:p>
    <w:p w14:paraId="16200208" w14:textId="77777777" w:rsidR="00D41426" w:rsidRDefault="00D41426" w:rsidP="006635F4">
      <w:pPr>
        <w:spacing w:after="0" w:line="240" w:lineRule="auto"/>
        <w:rPr>
          <w:rFonts w:ascii="Arial" w:eastAsia="Times New Roman" w:hAnsi="Arial" w:cs="Arial"/>
          <w:sz w:val="24"/>
          <w:szCs w:val="24"/>
          <w:lang w:val="es-ES" w:eastAsia="es-ES"/>
        </w:rPr>
      </w:pPr>
    </w:p>
    <w:p w14:paraId="64FAB164" w14:textId="77777777" w:rsidR="00D41426" w:rsidRDefault="00D41426" w:rsidP="006635F4">
      <w:pPr>
        <w:spacing w:after="0" w:line="240" w:lineRule="auto"/>
        <w:rPr>
          <w:rFonts w:ascii="Arial" w:eastAsia="Times New Roman" w:hAnsi="Arial" w:cs="Arial"/>
          <w:sz w:val="24"/>
          <w:szCs w:val="24"/>
          <w:lang w:val="es-ES" w:eastAsia="es-ES"/>
        </w:rPr>
      </w:pPr>
    </w:p>
    <w:p w14:paraId="007423EC" w14:textId="77777777" w:rsidR="00D41426" w:rsidRDefault="00D41426" w:rsidP="006635F4">
      <w:pPr>
        <w:spacing w:after="0" w:line="240"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Enrique Sánchez Carballo</w:t>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t>Welmer Ramos González</w:t>
      </w:r>
    </w:p>
    <w:p w14:paraId="0292B901" w14:textId="77777777" w:rsidR="00D41426" w:rsidRDefault="00D41426" w:rsidP="006635F4">
      <w:pPr>
        <w:spacing w:after="0" w:line="240" w:lineRule="auto"/>
        <w:rPr>
          <w:rFonts w:ascii="Arial" w:eastAsia="Times New Roman" w:hAnsi="Arial" w:cs="Arial"/>
          <w:sz w:val="24"/>
          <w:szCs w:val="24"/>
          <w:lang w:val="es-ES" w:eastAsia="es-ES"/>
        </w:rPr>
      </w:pPr>
    </w:p>
    <w:p w14:paraId="51D00B8B" w14:textId="77777777" w:rsidR="00D41426" w:rsidRDefault="00D41426" w:rsidP="006635F4">
      <w:pPr>
        <w:spacing w:after="0" w:line="240" w:lineRule="auto"/>
        <w:rPr>
          <w:rFonts w:ascii="Arial" w:eastAsia="Times New Roman" w:hAnsi="Arial" w:cs="Arial"/>
          <w:sz w:val="24"/>
          <w:szCs w:val="24"/>
          <w:lang w:val="es-ES" w:eastAsia="es-ES"/>
        </w:rPr>
      </w:pPr>
    </w:p>
    <w:p w14:paraId="3557B0F8" w14:textId="77777777" w:rsidR="00D41426" w:rsidRDefault="00D41426" w:rsidP="006635F4">
      <w:pPr>
        <w:spacing w:after="0" w:line="240"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Nielsen Pérez </w:t>
      </w:r>
      <w:proofErr w:type="spellStart"/>
      <w:r>
        <w:rPr>
          <w:rFonts w:ascii="Arial" w:eastAsia="Times New Roman" w:hAnsi="Arial" w:cs="Arial"/>
          <w:sz w:val="24"/>
          <w:szCs w:val="24"/>
          <w:lang w:val="es-ES" w:eastAsia="es-ES"/>
        </w:rPr>
        <w:t>Pérez</w:t>
      </w:r>
      <w:proofErr w:type="spellEnd"/>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t>Luis Ramón Carranza Cascante</w:t>
      </w:r>
    </w:p>
    <w:p w14:paraId="002CE0AE" w14:textId="77777777" w:rsidR="00D41426" w:rsidRDefault="00D41426" w:rsidP="006635F4">
      <w:pPr>
        <w:spacing w:after="0" w:line="240" w:lineRule="auto"/>
        <w:rPr>
          <w:rFonts w:ascii="Arial" w:eastAsia="Times New Roman" w:hAnsi="Arial" w:cs="Arial"/>
          <w:sz w:val="24"/>
          <w:szCs w:val="24"/>
          <w:lang w:val="es-ES" w:eastAsia="es-ES"/>
        </w:rPr>
      </w:pPr>
    </w:p>
    <w:p w14:paraId="54B42ABB" w14:textId="77777777" w:rsidR="00D41426" w:rsidRDefault="00D41426" w:rsidP="006635F4">
      <w:pPr>
        <w:spacing w:after="0" w:line="240" w:lineRule="auto"/>
        <w:rPr>
          <w:rFonts w:ascii="Arial" w:eastAsia="Times New Roman" w:hAnsi="Arial" w:cs="Arial"/>
          <w:sz w:val="24"/>
          <w:szCs w:val="24"/>
          <w:lang w:val="es-ES" w:eastAsia="es-ES"/>
        </w:rPr>
      </w:pPr>
    </w:p>
    <w:p w14:paraId="1ED838A1" w14:textId="77777777" w:rsidR="00D41426" w:rsidRDefault="00D41426" w:rsidP="006635F4">
      <w:pPr>
        <w:spacing w:after="0" w:line="240"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Laura Guido Pérez</w:t>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t>Paola Viviana Vega Rodríguez</w:t>
      </w:r>
    </w:p>
    <w:p w14:paraId="6801418B" w14:textId="77777777" w:rsidR="00D41426" w:rsidRDefault="00D41426" w:rsidP="006635F4">
      <w:pPr>
        <w:spacing w:after="0" w:line="240" w:lineRule="auto"/>
        <w:rPr>
          <w:rFonts w:ascii="Arial" w:eastAsia="Times New Roman" w:hAnsi="Arial" w:cs="Arial"/>
          <w:sz w:val="24"/>
          <w:szCs w:val="24"/>
          <w:lang w:val="es-ES" w:eastAsia="es-ES"/>
        </w:rPr>
      </w:pPr>
    </w:p>
    <w:p w14:paraId="133C4F29" w14:textId="77777777" w:rsidR="00D41426" w:rsidRDefault="00D41426" w:rsidP="006635F4">
      <w:pPr>
        <w:spacing w:after="0" w:line="240" w:lineRule="auto"/>
        <w:rPr>
          <w:rFonts w:ascii="Arial" w:eastAsia="Times New Roman" w:hAnsi="Arial" w:cs="Arial"/>
          <w:sz w:val="24"/>
          <w:szCs w:val="24"/>
          <w:lang w:val="es-ES" w:eastAsia="es-ES"/>
        </w:rPr>
      </w:pPr>
    </w:p>
    <w:p w14:paraId="0BB58D52" w14:textId="77777777" w:rsidR="00D41426" w:rsidRDefault="00D41426" w:rsidP="006635F4">
      <w:pPr>
        <w:spacing w:after="0" w:line="240"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Carolina Hidalgo Herrera</w:t>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t>Catalina Montero Gómez</w:t>
      </w:r>
    </w:p>
    <w:p w14:paraId="4EFB49D2" w14:textId="77777777" w:rsidR="00D41426" w:rsidRDefault="00D41426" w:rsidP="006635F4">
      <w:pPr>
        <w:spacing w:after="0" w:line="240" w:lineRule="auto"/>
        <w:rPr>
          <w:rFonts w:ascii="Arial" w:eastAsia="Times New Roman" w:hAnsi="Arial" w:cs="Arial"/>
          <w:sz w:val="24"/>
          <w:szCs w:val="24"/>
          <w:lang w:val="es-ES" w:eastAsia="es-ES"/>
        </w:rPr>
      </w:pPr>
    </w:p>
    <w:p w14:paraId="194BDEA0" w14:textId="77777777" w:rsidR="00D41426" w:rsidRDefault="00D41426" w:rsidP="00D41426">
      <w:pPr>
        <w:spacing w:after="0" w:line="240" w:lineRule="auto"/>
        <w:jc w:val="center"/>
        <w:rPr>
          <w:rFonts w:ascii="Arial" w:eastAsia="Times New Roman" w:hAnsi="Arial" w:cs="Arial"/>
          <w:b/>
          <w:sz w:val="24"/>
          <w:szCs w:val="24"/>
          <w:lang w:val="es-ES" w:eastAsia="es-ES"/>
        </w:rPr>
      </w:pPr>
      <w:r w:rsidRPr="00D41426">
        <w:rPr>
          <w:rFonts w:ascii="Arial" w:eastAsia="Times New Roman" w:hAnsi="Arial" w:cs="Arial"/>
          <w:b/>
          <w:sz w:val="24"/>
          <w:szCs w:val="24"/>
          <w:lang w:val="es-ES" w:eastAsia="es-ES"/>
        </w:rPr>
        <w:t>Diputados y diputadas</w:t>
      </w:r>
    </w:p>
    <w:p w14:paraId="0EA851BB" w14:textId="77777777" w:rsidR="00D41426" w:rsidRDefault="00D41426" w:rsidP="00D41426">
      <w:pPr>
        <w:spacing w:after="0" w:line="240" w:lineRule="auto"/>
        <w:jc w:val="center"/>
        <w:rPr>
          <w:rFonts w:ascii="Arial" w:eastAsia="Times New Roman" w:hAnsi="Arial" w:cs="Arial"/>
          <w:b/>
          <w:sz w:val="24"/>
          <w:szCs w:val="24"/>
          <w:lang w:val="es-ES" w:eastAsia="es-ES"/>
        </w:rPr>
      </w:pPr>
    </w:p>
    <w:p w14:paraId="6A542FD9" w14:textId="77777777" w:rsidR="00D41426" w:rsidRDefault="00D41426" w:rsidP="00D41426">
      <w:pPr>
        <w:overflowPunct w:val="0"/>
        <w:autoSpaceDE w:val="0"/>
        <w:autoSpaceDN w:val="0"/>
        <w:adjustRightInd w:val="0"/>
        <w:spacing w:after="0" w:line="240" w:lineRule="auto"/>
        <w:contextualSpacing/>
        <w:jc w:val="both"/>
        <w:rPr>
          <w:rFonts w:ascii="Arial" w:eastAsia="Times New Roman" w:hAnsi="Arial" w:cs="Times New Roman"/>
          <w:bCs/>
          <w:sz w:val="24"/>
          <w:szCs w:val="20"/>
          <w:lang w:val="es-ES" w:eastAsia="es-CR"/>
        </w:rPr>
      </w:pPr>
    </w:p>
    <w:p w14:paraId="3ABC8B86" w14:textId="77777777" w:rsidR="00D41426" w:rsidRDefault="00D41426" w:rsidP="00D41426">
      <w:pPr>
        <w:overflowPunct w:val="0"/>
        <w:autoSpaceDE w:val="0"/>
        <w:autoSpaceDN w:val="0"/>
        <w:adjustRightInd w:val="0"/>
        <w:spacing w:after="0" w:line="240" w:lineRule="auto"/>
        <w:contextualSpacing/>
        <w:jc w:val="both"/>
        <w:rPr>
          <w:rFonts w:ascii="Arial" w:eastAsia="Times New Roman" w:hAnsi="Arial" w:cs="Times New Roman"/>
          <w:bCs/>
          <w:sz w:val="24"/>
          <w:szCs w:val="20"/>
          <w:lang w:val="es-ES" w:eastAsia="es-CR"/>
        </w:rPr>
      </w:pPr>
    </w:p>
    <w:p w14:paraId="6E415889" w14:textId="77777777" w:rsidR="00D41426" w:rsidRDefault="00D41426" w:rsidP="00D41426">
      <w:pPr>
        <w:overflowPunct w:val="0"/>
        <w:autoSpaceDE w:val="0"/>
        <w:autoSpaceDN w:val="0"/>
        <w:adjustRightInd w:val="0"/>
        <w:spacing w:after="0" w:line="240" w:lineRule="auto"/>
        <w:contextualSpacing/>
        <w:jc w:val="both"/>
        <w:rPr>
          <w:rFonts w:ascii="Arial" w:eastAsia="Times New Roman" w:hAnsi="Arial" w:cs="Times New Roman"/>
          <w:bCs/>
          <w:sz w:val="24"/>
          <w:szCs w:val="20"/>
          <w:lang w:val="es-ES" w:eastAsia="es-CR"/>
        </w:rPr>
      </w:pPr>
    </w:p>
    <w:p w14:paraId="5BEE7D33" w14:textId="77777777" w:rsidR="00D41426" w:rsidRDefault="00D41426" w:rsidP="00D41426">
      <w:pPr>
        <w:overflowPunct w:val="0"/>
        <w:autoSpaceDE w:val="0"/>
        <w:autoSpaceDN w:val="0"/>
        <w:adjustRightInd w:val="0"/>
        <w:spacing w:after="0" w:line="240" w:lineRule="auto"/>
        <w:contextualSpacing/>
        <w:jc w:val="both"/>
        <w:rPr>
          <w:rFonts w:ascii="Arial" w:eastAsia="Times New Roman" w:hAnsi="Arial" w:cs="Times New Roman"/>
          <w:bCs/>
          <w:sz w:val="24"/>
          <w:szCs w:val="20"/>
          <w:lang w:val="es-ES" w:eastAsia="es-CR"/>
        </w:rPr>
      </w:pPr>
    </w:p>
    <w:p w14:paraId="6745EA10" w14:textId="77777777" w:rsidR="00D41426" w:rsidRDefault="00D41426" w:rsidP="00D41426">
      <w:pPr>
        <w:overflowPunct w:val="0"/>
        <w:autoSpaceDE w:val="0"/>
        <w:autoSpaceDN w:val="0"/>
        <w:adjustRightInd w:val="0"/>
        <w:spacing w:after="0" w:line="240" w:lineRule="auto"/>
        <w:contextualSpacing/>
        <w:jc w:val="both"/>
        <w:rPr>
          <w:rFonts w:ascii="Arial" w:eastAsia="Times New Roman" w:hAnsi="Arial" w:cs="Times New Roman"/>
          <w:bCs/>
          <w:sz w:val="24"/>
          <w:szCs w:val="20"/>
          <w:lang w:val="es-ES" w:eastAsia="es-CR"/>
        </w:rPr>
      </w:pPr>
    </w:p>
    <w:p w14:paraId="00314E2B" w14:textId="77777777" w:rsidR="00D41426" w:rsidRDefault="00D41426" w:rsidP="00D41426">
      <w:pPr>
        <w:overflowPunct w:val="0"/>
        <w:autoSpaceDE w:val="0"/>
        <w:autoSpaceDN w:val="0"/>
        <w:adjustRightInd w:val="0"/>
        <w:spacing w:after="0" w:line="240" w:lineRule="auto"/>
        <w:contextualSpacing/>
        <w:jc w:val="both"/>
        <w:rPr>
          <w:rFonts w:ascii="Arial" w:eastAsia="Times New Roman" w:hAnsi="Arial" w:cs="Times New Roman"/>
          <w:bCs/>
          <w:sz w:val="24"/>
          <w:szCs w:val="20"/>
          <w:lang w:val="es-ES" w:eastAsia="es-CR"/>
        </w:rPr>
      </w:pPr>
    </w:p>
    <w:p w14:paraId="7E907FBD" w14:textId="77777777" w:rsidR="00D41426" w:rsidRDefault="00D41426" w:rsidP="00D41426">
      <w:pPr>
        <w:overflowPunct w:val="0"/>
        <w:autoSpaceDE w:val="0"/>
        <w:autoSpaceDN w:val="0"/>
        <w:adjustRightInd w:val="0"/>
        <w:spacing w:after="0" w:line="240" w:lineRule="auto"/>
        <w:contextualSpacing/>
        <w:jc w:val="both"/>
        <w:rPr>
          <w:rFonts w:ascii="Arial" w:eastAsia="Times New Roman" w:hAnsi="Arial" w:cs="Times New Roman"/>
          <w:bCs/>
          <w:sz w:val="24"/>
          <w:szCs w:val="20"/>
          <w:lang w:val="es-ES" w:eastAsia="es-CR"/>
        </w:rPr>
      </w:pPr>
    </w:p>
    <w:p w14:paraId="088177BE" w14:textId="77777777" w:rsidR="00D41426" w:rsidRDefault="00D41426" w:rsidP="00D41426">
      <w:pPr>
        <w:overflowPunct w:val="0"/>
        <w:autoSpaceDE w:val="0"/>
        <w:autoSpaceDN w:val="0"/>
        <w:adjustRightInd w:val="0"/>
        <w:spacing w:after="0" w:line="240" w:lineRule="auto"/>
        <w:contextualSpacing/>
        <w:jc w:val="both"/>
        <w:rPr>
          <w:rFonts w:ascii="Arial" w:eastAsia="Times New Roman" w:hAnsi="Arial" w:cs="Times New Roman"/>
          <w:bCs/>
          <w:sz w:val="24"/>
          <w:szCs w:val="20"/>
          <w:lang w:val="es-ES" w:eastAsia="es-CR"/>
        </w:rPr>
      </w:pPr>
    </w:p>
    <w:p w14:paraId="69DB5C1C" w14:textId="77777777" w:rsidR="00D41426" w:rsidRDefault="00D41426" w:rsidP="00D41426">
      <w:pPr>
        <w:overflowPunct w:val="0"/>
        <w:autoSpaceDE w:val="0"/>
        <w:autoSpaceDN w:val="0"/>
        <w:adjustRightInd w:val="0"/>
        <w:spacing w:after="0" w:line="240" w:lineRule="auto"/>
        <w:contextualSpacing/>
        <w:jc w:val="both"/>
        <w:rPr>
          <w:rFonts w:ascii="Arial" w:eastAsia="Times New Roman" w:hAnsi="Arial" w:cs="Times New Roman"/>
          <w:bCs/>
          <w:sz w:val="24"/>
          <w:szCs w:val="20"/>
          <w:lang w:val="es-ES" w:eastAsia="es-CR"/>
        </w:rPr>
      </w:pPr>
    </w:p>
    <w:p w14:paraId="1F697ED5" w14:textId="77777777" w:rsidR="00D41426" w:rsidRDefault="00D41426" w:rsidP="00D41426">
      <w:pPr>
        <w:overflowPunct w:val="0"/>
        <w:autoSpaceDE w:val="0"/>
        <w:autoSpaceDN w:val="0"/>
        <w:adjustRightInd w:val="0"/>
        <w:spacing w:after="0" w:line="240" w:lineRule="auto"/>
        <w:contextualSpacing/>
        <w:jc w:val="both"/>
        <w:rPr>
          <w:rFonts w:ascii="Arial" w:eastAsia="Times New Roman" w:hAnsi="Arial" w:cs="Times New Roman"/>
          <w:bCs/>
          <w:sz w:val="24"/>
          <w:szCs w:val="20"/>
          <w:lang w:val="es-ES" w:eastAsia="es-CR"/>
        </w:rPr>
      </w:pPr>
    </w:p>
    <w:p w14:paraId="2D3370FF" w14:textId="77777777" w:rsidR="00D41426" w:rsidRDefault="00D41426" w:rsidP="00D41426">
      <w:pPr>
        <w:overflowPunct w:val="0"/>
        <w:autoSpaceDE w:val="0"/>
        <w:autoSpaceDN w:val="0"/>
        <w:adjustRightInd w:val="0"/>
        <w:spacing w:after="0" w:line="240" w:lineRule="auto"/>
        <w:contextualSpacing/>
        <w:jc w:val="both"/>
        <w:rPr>
          <w:rFonts w:ascii="Arial" w:eastAsia="Times New Roman" w:hAnsi="Arial" w:cs="Times New Roman"/>
          <w:bCs/>
          <w:sz w:val="24"/>
          <w:szCs w:val="20"/>
          <w:lang w:val="es-ES" w:eastAsia="es-CR"/>
        </w:rPr>
      </w:pPr>
    </w:p>
    <w:p w14:paraId="2982A248" w14:textId="77777777" w:rsidR="00D41426" w:rsidRDefault="00D41426" w:rsidP="00D41426">
      <w:pPr>
        <w:overflowPunct w:val="0"/>
        <w:autoSpaceDE w:val="0"/>
        <w:autoSpaceDN w:val="0"/>
        <w:adjustRightInd w:val="0"/>
        <w:spacing w:after="0" w:line="240" w:lineRule="auto"/>
        <w:contextualSpacing/>
        <w:jc w:val="both"/>
        <w:rPr>
          <w:rFonts w:ascii="Arial" w:eastAsia="Times New Roman" w:hAnsi="Arial" w:cs="Times New Roman"/>
          <w:bCs/>
          <w:sz w:val="24"/>
          <w:szCs w:val="20"/>
          <w:lang w:val="es-ES" w:eastAsia="es-CR"/>
        </w:rPr>
      </w:pPr>
    </w:p>
    <w:p w14:paraId="13986E1D" w14:textId="77777777" w:rsidR="00D41426" w:rsidRDefault="00D41426" w:rsidP="00D41426">
      <w:pPr>
        <w:overflowPunct w:val="0"/>
        <w:autoSpaceDE w:val="0"/>
        <w:autoSpaceDN w:val="0"/>
        <w:adjustRightInd w:val="0"/>
        <w:spacing w:after="0" w:line="240" w:lineRule="auto"/>
        <w:contextualSpacing/>
        <w:jc w:val="both"/>
        <w:rPr>
          <w:rFonts w:ascii="Arial" w:eastAsia="Times New Roman" w:hAnsi="Arial" w:cs="Times New Roman"/>
          <w:bCs/>
          <w:sz w:val="24"/>
          <w:szCs w:val="20"/>
          <w:lang w:val="es-ES" w:eastAsia="es-CR"/>
        </w:rPr>
      </w:pPr>
    </w:p>
    <w:p w14:paraId="59C50CB9" w14:textId="77777777" w:rsidR="00D41426" w:rsidRDefault="00D41426" w:rsidP="00D41426">
      <w:pPr>
        <w:overflowPunct w:val="0"/>
        <w:autoSpaceDE w:val="0"/>
        <w:autoSpaceDN w:val="0"/>
        <w:adjustRightInd w:val="0"/>
        <w:spacing w:after="0" w:line="240" w:lineRule="auto"/>
        <w:contextualSpacing/>
        <w:jc w:val="both"/>
        <w:rPr>
          <w:rFonts w:ascii="Arial" w:eastAsia="Times New Roman" w:hAnsi="Arial" w:cs="Times New Roman"/>
          <w:bCs/>
          <w:sz w:val="24"/>
          <w:szCs w:val="20"/>
          <w:lang w:val="es-ES" w:eastAsia="es-CR"/>
        </w:rPr>
      </w:pPr>
    </w:p>
    <w:p w14:paraId="77860C44" w14:textId="77777777" w:rsidR="00D41426" w:rsidRDefault="00D41426" w:rsidP="00D41426">
      <w:pPr>
        <w:overflowPunct w:val="0"/>
        <w:autoSpaceDE w:val="0"/>
        <w:autoSpaceDN w:val="0"/>
        <w:adjustRightInd w:val="0"/>
        <w:spacing w:after="0" w:line="240" w:lineRule="auto"/>
        <w:contextualSpacing/>
        <w:jc w:val="both"/>
        <w:rPr>
          <w:rFonts w:ascii="Arial" w:eastAsia="Times New Roman" w:hAnsi="Arial" w:cs="Times New Roman"/>
          <w:bCs/>
          <w:sz w:val="24"/>
          <w:szCs w:val="20"/>
          <w:lang w:val="es-ES" w:eastAsia="es-CR"/>
        </w:rPr>
      </w:pPr>
    </w:p>
    <w:p w14:paraId="6C917E97" w14:textId="77777777" w:rsidR="00D41426" w:rsidRDefault="00D41426" w:rsidP="00D41426">
      <w:pPr>
        <w:overflowPunct w:val="0"/>
        <w:autoSpaceDE w:val="0"/>
        <w:autoSpaceDN w:val="0"/>
        <w:adjustRightInd w:val="0"/>
        <w:spacing w:after="0" w:line="240" w:lineRule="auto"/>
        <w:contextualSpacing/>
        <w:jc w:val="both"/>
        <w:rPr>
          <w:rFonts w:ascii="Arial" w:eastAsia="Times New Roman" w:hAnsi="Arial" w:cs="Times New Roman"/>
          <w:bCs/>
          <w:sz w:val="24"/>
          <w:szCs w:val="20"/>
          <w:lang w:val="es-ES" w:eastAsia="es-CR"/>
        </w:rPr>
      </w:pPr>
    </w:p>
    <w:p w14:paraId="24B26AA8" w14:textId="77777777" w:rsidR="00D41426" w:rsidRDefault="00D41426" w:rsidP="00D41426">
      <w:pPr>
        <w:overflowPunct w:val="0"/>
        <w:autoSpaceDE w:val="0"/>
        <w:autoSpaceDN w:val="0"/>
        <w:adjustRightInd w:val="0"/>
        <w:spacing w:after="0" w:line="240" w:lineRule="auto"/>
        <w:contextualSpacing/>
        <w:jc w:val="both"/>
        <w:rPr>
          <w:rFonts w:ascii="Arial" w:eastAsia="Times New Roman" w:hAnsi="Arial" w:cs="Times New Roman"/>
          <w:bCs/>
          <w:sz w:val="24"/>
          <w:szCs w:val="20"/>
          <w:lang w:val="es-ES" w:eastAsia="es-CR"/>
        </w:rPr>
      </w:pPr>
    </w:p>
    <w:p w14:paraId="6BB275FC" w14:textId="77777777" w:rsidR="00D41426" w:rsidRPr="00D41426" w:rsidRDefault="00D41426" w:rsidP="00D41426">
      <w:pPr>
        <w:overflowPunct w:val="0"/>
        <w:autoSpaceDE w:val="0"/>
        <w:autoSpaceDN w:val="0"/>
        <w:adjustRightInd w:val="0"/>
        <w:spacing w:after="0" w:line="240" w:lineRule="auto"/>
        <w:contextualSpacing/>
        <w:jc w:val="both"/>
        <w:rPr>
          <w:rFonts w:ascii="Arial" w:eastAsia="Times New Roman" w:hAnsi="Arial" w:cs="Times New Roman"/>
          <w:bCs/>
          <w:sz w:val="24"/>
          <w:szCs w:val="20"/>
          <w:lang w:val="es-ES" w:eastAsia="es-CR"/>
        </w:rPr>
      </w:pPr>
      <w:r>
        <w:rPr>
          <w:rFonts w:ascii="Arial" w:eastAsia="Times New Roman" w:hAnsi="Arial" w:cs="Times New Roman"/>
          <w:bCs/>
          <w:sz w:val="24"/>
          <w:szCs w:val="20"/>
          <w:lang w:val="es-ES" w:eastAsia="es-CR"/>
        </w:rPr>
        <w:t>17</w:t>
      </w:r>
      <w:r w:rsidRPr="00D41426">
        <w:rPr>
          <w:rFonts w:ascii="Arial" w:eastAsia="Times New Roman" w:hAnsi="Arial" w:cs="Times New Roman"/>
          <w:bCs/>
          <w:sz w:val="24"/>
          <w:szCs w:val="20"/>
          <w:lang w:val="es-ES" w:eastAsia="es-CR"/>
        </w:rPr>
        <w:t xml:space="preserve"> de diciembre </w:t>
      </w:r>
      <w:r w:rsidRPr="00D41426">
        <w:rPr>
          <w:rFonts w:ascii="Arial" w:eastAsia="Times New Roman" w:hAnsi="Arial" w:cs="Times New Roman"/>
          <w:bCs/>
          <w:sz w:val="24"/>
          <w:szCs w:val="20"/>
          <w:lang w:val="es-CO" w:eastAsia="es-CR"/>
        </w:rPr>
        <w:t>de 2018</w:t>
      </w:r>
    </w:p>
    <w:p w14:paraId="38654546" w14:textId="77777777" w:rsidR="00D41426" w:rsidRPr="00D41426" w:rsidRDefault="00D41426" w:rsidP="00D41426">
      <w:pPr>
        <w:overflowPunct w:val="0"/>
        <w:autoSpaceDE w:val="0"/>
        <w:autoSpaceDN w:val="0"/>
        <w:adjustRightInd w:val="0"/>
        <w:spacing w:after="0" w:line="240" w:lineRule="auto"/>
        <w:jc w:val="both"/>
        <w:rPr>
          <w:rFonts w:ascii="Arial" w:eastAsia="Times New Roman" w:hAnsi="Arial" w:cs="Times New Roman"/>
          <w:bCs/>
          <w:sz w:val="24"/>
          <w:szCs w:val="20"/>
          <w:lang w:val="es-CO" w:eastAsia="es-CR"/>
        </w:rPr>
      </w:pPr>
    </w:p>
    <w:p w14:paraId="201F6AAB" w14:textId="77777777" w:rsidR="00D41426" w:rsidRPr="00D41426" w:rsidRDefault="00D41426" w:rsidP="00D41426">
      <w:pPr>
        <w:overflowPunct w:val="0"/>
        <w:autoSpaceDE w:val="0"/>
        <w:autoSpaceDN w:val="0"/>
        <w:adjustRightInd w:val="0"/>
        <w:spacing w:after="0" w:line="240" w:lineRule="auto"/>
        <w:jc w:val="both"/>
        <w:rPr>
          <w:rFonts w:ascii="Arial" w:eastAsia="Times New Roman" w:hAnsi="Arial" w:cs="Times New Roman"/>
          <w:bCs/>
          <w:sz w:val="24"/>
          <w:szCs w:val="20"/>
          <w:lang w:val="es-CO" w:eastAsia="es-CR"/>
        </w:rPr>
      </w:pPr>
    </w:p>
    <w:p w14:paraId="704BEC99" w14:textId="77777777" w:rsidR="00D41426" w:rsidRPr="00D41426" w:rsidRDefault="00D41426" w:rsidP="00D41426">
      <w:pPr>
        <w:overflowPunct w:val="0"/>
        <w:autoSpaceDE w:val="0"/>
        <w:autoSpaceDN w:val="0"/>
        <w:adjustRightInd w:val="0"/>
        <w:spacing w:after="0" w:line="240" w:lineRule="auto"/>
        <w:ind w:left="1410" w:hanging="1410"/>
        <w:jc w:val="both"/>
        <w:rPr>
          <w:rFonts w:ascii="Arial" w:eastAsia="Times New Roman" w:hAnsi="Arial" w:cs="Times New Roman"/>
          <w:bCs/>
          <w:sz w:val="24"/>
          <w:szCs w:val="20"/>
          <w:lang w:val="es-CO" w:eastAsia="es-CR"/>
        </w:rPr>
      </w:pPr>
      <w:r w:rsidRPr="00D41426">
        <w:rPr>
          <w:rFonts w:ascii="Arial" w:eastAsia="Times New Roman" w:hAnsi="Arial" w:cs="Times New Roman"/>
          <w:bCs/>
          <w:sz w:val="24"/>
          <w:szCs w:val="20"/>
          <w:lang w:val="es-CO" w:eastAsia="es-CR"/>
        </w:rPr>
        <w:t>NOTAS:</w:t>
      </w:r>
      <w:r w:rsidRPr="00D41426">
        <w:rPr>
          <w:rFonts w:ascii="Arial" w:eastAsia="Times New Roman" w:hAnsi="Arial" w:cs="Times New Roman"/>
          <w:bCs/>
          <w:sz w:val="24"/>
          <w:szCs w:val="20"/>
          <w:lang w:val="es-CO" w:eastAsia="es-CR"/>
        </w:rPr>
        <w:tab/>
        <w:t xml:space="preserve">Este proyecto pasó a estudio e informe de la Comisión Permanente Ordinaria de Asuntos </w:t>
      </w:r>
      <w:r>
        <w:rPr>
          <w:rFonts w:ascii="Arial" w:eastAsia="Times New Roman" w:hAnsi="Arial" w:cs="Times New Roman"/>
          <w:bCs/>
          <w:sz w:val="24"/>
          <w:szCs w:val="20"/>
          <w:lang w:val="es-CO" w:eastAsia="es-CR"/>
        </w:rPr>
        <w:t>Hacendarios.</w:t>
      </w:r>
    </w:p>
    <w:p w14:paraId="2BC0988D" w14:textId="77777777" w:rsidR="00D41426" w:rsidRPr="00D41426" w:rsidRDefault="00D41426" w:rsidP="00D41426">
      <w:pPr>
        <w:overflowPunct w:val="0"/>
        <w:autoSpaceDE w:val="0"/>
        <w:autoSpaceDN w:val="0"/>
        <w:adjustRightInd w:val="0"/>
        <w:spacing w:after="0" w:line="240" w:lineRule="auto"/>
        <w:jc w:val="both"/>
        <w:rPr>
          <w:rFonts w:ascii="Arial" w:eastAsia="Times New Roman" w:hAnsi="Arial" w:cs="Times New Roman"/>
          <w:bCs/>
          <w:sz w:val="24"/>
          <w:szCs w:val="20"/>
          <w:lang w:val="es-CO" w:eastAsia="es-CR"/>
        </w:rPr>
      </w:pPr>
    </w:p>
    <w:p w14:paraId="16A93384" w14:textId="77777777" w:rsidR="00D41426" w:rsidRPr="00D41426" w:rsidRDefault="00D41426" w:rsidP="00D41426">
      <w:pPr>
        <w:overflowPunct w:val="0"/>
        <w:autoSpaceDE w:val="0"/>
        <w:autoSpaceDN w:val="0"/>
        <w:adjustRightInd w:val="0"/>
        <w:spacing w:after="0" w:line="240" w:lineRule="auto"/>
        <w:ind w:left="1410" w:firstLine="6"/>
        <w:jc w:val="both"/>
        <w:rPr>
          <w:rFonts w:ascii="Arial" w:eastAsia="Times New Roman" w:hAnsi="Arial" w:cs="Times New Roman"/>
          <w:bCs/>
          <w:sz w:val="24"/>
          <w:szCs w:val="20"/>
          <w:lang w:val="es-CO" w:eastAsia="es-CR"/>
        </w:rPr>
      </w:pPr>
      <w:r w:rsidRPr="00D41426">
        <w:rPr>
          <w:rFonts w:ascii="Arial" w:eastAsia="Times New Roman" w:hAnsi="Arial" w:cs="Times New Roman"/>
          <w:bCs/>
          <w:sz w:val="24"/>
          <w:szCs w:val="20"/>
          <w:lang w:val="es-CO" w:eastAsia="es-CR"/>
        </w:rPr>
        <w:t>El Departamento de Servicios Parlamentarios ajustó el texto de este proyecto a los requerimientos de estructura.</w:t>
      </w:r>
    </w:p>
    <w:sectPr w:rsidR="00D41426" w:rsidRPr="00D41426" w:rsidSect="00D41426">
      <w:pgSz w:w="12240" w:h="15840"/>
      <w:pgMar w:top="1417"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BF625" w14:textId="77777777" w:rsidR="00B6494E" w:rsidRDefault="00B6494E" w:rsidP="00D41426">
      <w:pPr>
        <w:spacing w:after="0" w:line="240" w:lineRule="auto"/>
      </w:pPr>
      <w:r>
        <w:separator/>
      </w:r>
    </w:p>
  </w:endnote>
  <w:endnote w:type="continuationSeparator" w:id="0">
    <w:p w14:paraId="4D9232A0" w14:textId="77777777" w:rsidR="00B6494E" w:rsidRDefault="00B6494E" w:rsidP="00D41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9FDB5" w14:textId="77777777" w:rsidR="00B6494E" w:rsidRDefault="00B6494E" w:rsidP="00D41426">
      <w:pPr>
        <w:spacing w:after="0" w:line="240" w:lineRule="auto"/>
      </w:pPr>
      <w:r>
        <w:separator/>
      </w:r>
    </w:p>
  </w:footnote>
  <w:footnote w:type="continuationSeparator" w:id="0">
    <w:p w14:paraId="61599C34" w14:textId="77777777" w:rsidR="00B6494E" w:rsidRDefault="00B6494E" w:rsidP="00D414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94E80" w14:textId="77777777" w:rsidR="00D41426" w:rsidRPr="00D41426" w:rsidRDefault="00D41426" w:rsidP="00D41426">
    <w:pPr>
      <w:pStyle w:val="Encabezado"/>
      <w:pBdr>
        <w:bottom w:val="single" w:sz="4" w:space="1" w:color="auto"/>
      </w:pBdr>
      <w:tabs>
        <w:tab w:val="clear" w:pos="4419"/>
        <w:tab w:val="clear" w:pos="8838"/>
      </w:tabs>
    </w:pPr>
    <w:r w:rsidRPr="00D41426">
      <w:rPr>
        <w:rFonts w:cs="Arial"/>
        <w:sz w:val="20"/>
      </w:rPr>
      <w:t>Expediente N.° 21.165</w:t>
    </w:r>
    <w:r w:rsidRPr="00D41426">
      <w:rPr>
        <w:rFonts w:cs="Arial"/>
        <w:sz w:val="20"/>
      </w:rPr>
      <w:tab/>
    </w:r>
    <w:r w:rsidRPr="00D41426">
      <w:rPr>
        <w:rFonts w:cs="Arial"/>
        <w:sz w:val="20"/>
      </w:rPr>
      <w:tab/>
    </w:r>
    <w:r w:rsidRPr="00D41426">
      <w:rPr>
        <w:rFonts w:cs="Arial"/>
        <w:sz w:val="20"/>
      </w:rPr>
      <w:tab/>
    </w:r>
    <w:r w:rsidRPr="00D41426">
      <w:rPr>
        <w:rFonts w:cs="Arial"/>
        <w:sz w:val="20"/>
      </w:rPr>
      <w:tab/>
    </w:r>
    <w:r w:rsidRPr="00D41426">
      <w:rPr>
        <w:rFonts w:cs="Arial"/>
        <w:sz w:val="20"/>
      </w:rPr>
      <w:tab/>
    </w:r>
    <w:r w:rsidRPr="00D41426">
      <w:rPr>
        <w:rFonts w:cs="Arial"/>
        <w:sz w:val="20"/>
      </w:rPr>
      <w:tab/>
    </w:r>
    <w:r w:rsidRPr="00D41426">
      <w:rPr>
        <w:rFonts w:cs="Arial"/>
        <w:sz w:val="20"/>
      </w:rPr>
      <w:tab/>
    </w:r>
    <w:r w:rsidRPr="00D41426">
      <w:rPr>
        <w:rFonts w:cs="Arial"/>
        <w:sz w:val="20"/>
      </w:rPr>
      <w:tab/>
    </w:r>
    <w:r w:rsidRPr="00D41426">
      <w:rPr>
        <w:rFonts w:cs="Arial"/>
        <w:sz w:val="20"/>
      </w:rPr>
      <w:tab/>
    </w:r>
    <w:r w:rsidRPr="00D41426">
      <w:rPr>
        <w:rFonts w:cs="Arial"/>
        <w:sz w:val="20"/>
      </w:rPr>
      <w:tab/>
    </w:r>
    <w:r w:rsidRPr="00D41426">
      <w:rPr>
        <w:rFonts w:cs="Arial"/>
        <w:sz w:val="20"/>
      </w:rPr>
      <w:fldChar w:fldCharType="begin"/>
    </w:r>
    <w:r w:rsidRPr="00D41426">
      <w:rPr>
        <w:rFonts w:cs="Arial"/>
        <w:sz w:val="20"/>
      </w:rPr>
      <w:instrText xml:space="preserve"> PAGE  \* MERGEFORMAT </w:instrText>
    </w:r>
    <w:r w:rsidRPr="00D41426">
      <w:rPr>
        <w:rFonts w:cs="Arial"/>
        <w:sz w:val="20"/>
      </w:rPr>
      <w:fldChar w:fldCharType="separate"/>
    </w:r>
    <w:r w:rsidR="005C59F1">
      <w:rPr>
        <w:rFonts w:cs="Arial"/>
        <w:noProof/>
        <w:sz w:val="20"/>
      </w:rPr>
      <w:t>7</w:t>
    </w:r>
    <w:r w:rsidRPr="00D41426">
      <w:rPr>
        <w:rFonts w:cs="Arial"/>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621E39"/>
    <w:multiLevelType w:val="hybridMultilevel"/>
    <w:tmpl w:val="D38636BE"/>
    <w:lvl w:ilvl="0" w:tplc="72B2AC6A">
      <w:start w:val="1"/>
      <w:numFmt w:val="lowerLetter"/>
      <w:lvlText w:val="%1)"/>
      <w:lvlJc w:val="left"/>
      <w:pPr>
        <w:ind w:left="1069" w:hanging="360"/>
      </w:pPr>
      <w:rPr>
        <w:b w:val="0"/>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 w15:restartNumberingAfterBreak="0">
    <w:nsid w:val="7FE420E1"/>
    <w:multiLevelType w:val="hybridMultilevel"/>
    <w:tmpl w:val="422ABD74"/>
    <w:lvl w:ilvl="0" w:tplc="20DAC79C">
      <w:start w:val="1"/>
      <w:numFmt w:val="lowerLetter"/>
      <w:lvlText w:val="%1)"/>
      <w:lvlJc w:val="left"/>
      <w:pPr>
        <w:ind w:left="1429" w:hanging="360"/>
      </w:pPr>
      <w:rPr>
        <w:rFonts w:eastAsia="Times New Roman"/>
        <w:color w:val="auto"/>
      </w:r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5F4"/>
    <w:rsid w:val="00126453"/>
    <w:rsid w:val="005C59F1"/>
    <w:rsid w:val="00661346"/>
    <w:rsid w:val="006635F4"/>
    <w:rsid w:val="007914EA"/>
    <w:rsid w:val="00B64947"/>
    <w:rsid w:val="00B6494E"/>
    <w:rsid w:val="00C61CFF"/>
    <w:rsid w:val="00D41426"/>
    <w:rsid w:val="00E95F83"/>
    <w:rsid w:val="00F7608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4EC5D"/>
  <w15:docId w15:val="{E64686C9-FA1A-439C-9E8F-EB623C4B5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635F4"/>
    <w:pPr>
      <w:spacing w:after="0" w:line="240" w:lineRule="auto"/>
    </w:pPr>
    <w:rPr>
      <w:rFonts w:ascii="Calibri" w:eastAsia="Calibri" w:hAnsi="Calibri" w:cs="Times New Roman"/>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914EA"/>
    <w:pPr>
      <w:ind w:left="720"/>
      <w:contextualSpacing/>
    </w:pPr>
  </w:style>
  <w:style w:type="paragraph" w:styleId="Encabezado">
    <w:name w:val="header"/>
    <w:basedOn w:val="Normal"/>
    <w:link w:val="EncabezadoCar"/>
    <w:uiPriority w:val="99"/>
    <w:unhideWhenUsed/>
    <w:rsid w:val="00D41426"/>
    <w:pPr>
      <w:tabs>
        <w:tab w:val="center" w:pos="4419"/>
        <w:tab w:val="right" w:pos="8838"/>
      </w:tabs>
      <w:spacing w:after="0" w:line="240" w:lineRule="auto"/>
      <w:contextualSpacing/>
      <w:jc w:val="both"/>
    </w:pPr>
    <w:rPr>
      <w:rFonts w:ascii="Arial" w:eastAsia="Calibri" w:hAnsi="Arial" w:cs="Times New Roman"/>
      <w:sz w:val="24"/>
    </w:rPr>
  </w:style>
  <w:style w:type="character" w:customStyle="1" w:styleId="EncabezadoCar">
    <w:name w:val="Encabezado Car"/>
    <w:basedOn w:val="Fuentedeprrafopredeter"/>
    <w:link w:val="Encabezado"/>
    <w:uiPriority w:val="99"/>
    <w:rsid w:val="00D41426"/>
    <w:rPr>
      <w:rFonts w:ascii="Arial" w:eastAsia="Calibri" w:hAnsi="Arial" w:cs="Times New Roman"/>
      <w:sz w:val="24"/>
    </w:rPr>
  </w:style>
  <w:style w:type="paragraph" w:styleId="Piedepgina">
    <w:name w:val="footer"/>
    <w:basedOn w:val="Normal"/>
    <w:link w:val="PiedepginaCar"/>
    <w:uiPriority w:val="99"/>
    <w:unhideWhenUsed/>
    <w:rsid w:val="00D414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41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518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D9667-B5E9-4782-9964-BE398038C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2278</Words>
  <Characters>12535</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Montserrat Jimenez Quesada</dc:creator>
  <cp:lastModifiedBy>Carlos Speranza</cp:lastModifiedBy>
  <cp:revision>2</cp:revision>
  <cp:lastPrinted>2018-12-17T22:47:00Z</cp:lastPrinted>
  <dcterms:created xsi:type="dcterms:W3CDTF">2020-02-10T20:12:00Z</dcterms:created>
  <dcterms:modified xsi:type="dcterms:W3CDTF">2020-02-10T20:12:00Z</dcterms:modified>
</cp:coreProperties>
</file>